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31" w:rsidRDefault="00B22731">
      <w:pPr>
        <w:jc w:val="center"/>
        <w:rPr>
          <w:rFonts w:ascii="Calibri" w:hAnsi="Calibri" w:cs="Arial"/>
          <w:sz w:val="72"/>
        </w:rPr>
      </w:pPr>
    </w:p>
    <w:p w:rsidR="00B22731" w:rsidRDefault="00B22731">
      <w:pPr>
        <w:jc w:val="center"/>
        <w:rPr>
          <w:rFonts w:ascii="Calibri" w:hAnsi="Calibri" w:cs="Arial"/>
          <w:sz w:val="72"/>
        </w:rPr>
      </w:pPr>
    </w:p>
    <w:p w:rsidR="00FA1D1F" w:rsidRDefault="00FA1D1F">
      <w:pPr>
        <w:jc w:val="center"/>
        <w:rPr>
          <w:rFonts w:ascii="Calibri" w:hAnsi="Calibri" w:cs="Arial"/>
          <w:sz w:val="72"/>
        </w:rPr>
      </w:pPr>
    </w:p>
    <w:p w:rsidR="00FA1D1F" w:rsidRDefault="00FA1D1F">
      <w:pPr>
        <w:jc w:val="center"/>
        <w:rPr>
          <w:rFonts w:ascii="Calibri" w:hAnsi="Calibri" w:cs="Arial"/>
          <w:sz w:val="36"/>
          <w:szCs w:val="36"/>
        </w:rPr>
      </w:pPr>
    </w:p>
    <w:p w:rsidR="007B2F56" w:rsidRDefault="007B2F56">
      <w:pPr>
        <w:jc w:val="center"/>
        <w:rPr>
          <w:rFonts w:ascii="Calibri" w:hAnsi="Calibri" w:cs="Arial"/>
          <w:sz w:val="36"/>
          <w:szCs w:val="36"/>
        </w:rPr>
      </w:pPr>
    </w:p>
    <w:p w:rsidR="007B2F56" w:rsidRDefault="007B2F56" w:rsidP="007B2F56">
      <w:pPr>
        <w:rPr>
          <w:rFonts w:ascii="Calibri" w:hAnsi="Calibri" w:cs="Arial"/>
          <w:sz w:val="16"/>
          <w:szCs w:val="16"/>
        </w:rPr>
      </w:pPr>
    </w:p>
    <w:p w:rsidR="007B2F56" w:rsidRPr="007B2F56" w:rsidRDefault="007B2F56" w:rsidP="007B2F56">
      <w:pPr>
        <w:rPr>
          <w:rFonts w:ascii="Calibri" w:hAnsi="Calibri" w:cs="Arial"/>
          <w:sz w:val="16"/>
          <w:szCs w:val="16"/>
        </w:rPr>
      </w:pPr>
    </w:p>
    <w:p w:rsidR="001D7A1D" w:rsidRDefault="001D7A1D" w:rsidP="001D7A1D">
      <w:pPr>
        <w:jc w:val="center"/>
        <w:rPr>
          <w:sz w:val="56"/>
          <w:szCs w:val="56"/>
        </w:rPr>
      </w:pPr>
      <w:r w:rsidRPr="00B11DEE">
        <w:rPr>
          <w:sz w:val="56"/>
          <w:szCs w:val="56"/>
        </w:rPr>
        <w:t>Ea</w:t>
      </w:r>
      <w:r>
        <w:rPr>
          <w:sz w:val="56"/>
          <w:szCs w:val="56"/>
        </w:rPr>
        <w:t xml:space="preserve">stwood Park Academy Trust </w:t>
      </w:r>
    </w:p>
    <w:p w:rsidR="001D7A1D" w:rsidRDefault="001D7A1D" w:rsidP="001D7A1D">
      <w:pPr>
        <w:pStyle w:val="NoSpacing"/>
      </w:pPr>
    </w:p>
    <w:p w:rsidR="001D7A1D" w:rsidRPr="00B11DEE" w:rsidRDefault="001D7A1D" w:rsidP="001D7A1D">
      <w:pPr>
        <w:pStyle w:val="NoSpacing"/>
      </w:pPr>
    </w:p>
    <w:p w:rsidR="001D7A1D" w:rsidRDefault="001D7A1D" w:rsidP="001D7A1D">
      <w:pPr>
        <w:jc w:val="center"/>
        <w:rPr>
          <w:i/>
        </w:rPr>
      </w:pPr>
      <w:r>
        <w:rPr>
          <w:noProof/>
          <w:lang w:eastAsia="en-GB"/>
        </w:rPr>
        <w:drawing>
          <wp:inline distT="0" distB="0" distL="0" distR="0" wp14:anchorId="6B44F8E7" wp14:editId="500DA93B">
            <wp:extent cx="1988139"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1D7A1D" w:rsidRDefault="001D7A1D" w:rsidP="001D7A1D">
      <w:pPr>
        <w:pStyle w:val="NoSpacing"/>
      </w:pPr>
    </w:p>
    <w:p w:rsidR="001D7A1D" w:rsidRDefault="001D7A1D" w:rsidP="001D7A1D">
      <w:pPr>
        <w:pStyle w:val="NoSpacing"/>
      </w:pPr>
    </w:p>
    <w:p w:rsidR="001D7A1D" w:rsidRDefault="00AA667C" w:rsidP="001D7A1D">
      <w:pPr>
        <w:jc w:val="center"/>
        <w:rPr>
          <w:sz w:val="32"/>
          <w:szCs w:val="32"/>
        </w:rPr>
      </w:pPr>
      <w:r>
        <w:rPr>
          <w:sz w:val="32"/>
          <w:szCs w:val="32"/>
        </w:rPr>
        <w:t>Equality</w:t>
      </w:r>
      <w:r w:rsidR="008D11DA">
        <w:rPr>
          <w:sz w:val="32"/>
          <w:szCs w:val="32"/>
        </w:rPr>
        <w:t xml:space="preserve"> </w:t>
      </w:r>
      <w:r w:rsidR="001D7A1D">
        <w:rPr>
          <w:sz w:val="32"/>
          <w:szCs w:val="32"/>
        </w:rPr>
        <w:t>Policy</w:t>
      </w:r>
    </w:p>
    <w:p w:rsidR="001D7A1D" w:rsidRPr="00B11DEE" w:rsidRDefault="001D7A1D" w:rsidP="001D7A1D">
      <w:pPr>
        <w:jc w:val="center"/>
        <w:rPr>
          <w:sz w:val="32"/>
          <w:szCs w:val="32"/>
        </w:rPr>
      </w:pPr>
    </w:p>
    <w:p w:rsidR="001D7A1D" w:rsidRPr="003725BD" w:rsidRDefault="001D7A1D" w:rsidP="001D7A1D">
      <w:pPr>
        <w:pStyle w:val="NoSpacing"/>
      </w:pPr>
    </w:p>
    <w:tbl>
      <w:tblPr>
        <w:tblStyle w:val="TableGrid"/>
        <w:tblW w:w="0" w:type="auto"/>
        <w:jc w:val="center"/>
        <w:tblLook w:val="04A0" w:firstRow="1" w:lastRow="0" w:firstColumn="1" w:lastColumn="0" w:noHBand="0" w:noVBand="1"/>
      </w:tblPr>
      <w:tblGrid>
        <w:gridCol w:w="4428"/>
        <w:gridCol w:w="4428"/>
      </w:tblGrid>
      <w:tr w:rsidR="001D7A1D" w:rsidRPr="009B7134" w:rsidTr="00794068">
        <w:trPr>
          <w:jc w:val="center"/>
        </w:trPr>
        <w:tc>
          <w:tcPr>
            <w:tcW w:w="4428" w:type="dxa"/>
          </w:tcPr>
          <w:p w:rsidR="001D7A1D" w:rsidRPr="00172010" w:rsidRDefault="001D7A1D" w:rsidP="00794068">
            <w:pPr>
              <w:pStyle w:val="NoSpacing"/>
            </w:pPr>
            <w:r w:rsidRPr="00172010">
              <w:t xml:space="preserve">Author’s Name: </w:t>
            </w:r>
          </w:p>
        </w:tc>
        <w:tc>
          <w:tcPr>
            <w:tcW w:w="4428" w:type="dxa"/>
          </w:tcPr>
          <w:p w:rsidR="001D7A1D" w:rsidRPr="00172010" w:rsidRDefault="001D7A1D" w:rsidP="00794068">
            <w:pPr>
              <w:pStyle w:val="NoSpacing"/>
            </w:pPr>
            <w:r w:rsidRPr="00172010">
              <w:t>Mr. N. Houchen</w:t>
            </w:r>
          </w:p>
        </w:tc>
      </w:tr>
      <w:tr w:rsidR="001D7A1D" w:rsidRPr="009B7134" w:rsidTr="00794068">
        <w:trPr>
          <w:jc w:val="center"/>
        </w:trPr>
        <w:tc>
          <w:tcPr>
            <w:tcW w:w="4428" w:type="dxa"/>
          </w:tcPr>
          <w:p w:rsidR="001D7A1D" w:rsidRPr="00172010" w:rsidRDefault="001D7A1D" w:rsidP="00794068">
            <w:pPr>
              <w:pStyle w:val="NoSpacing"/>
            </w:pPr>
            <w:r w:rsidRPr="00172010">
              <w:t>Date Reviewed</w:t>
            </w:r>
          </w:p>
        </w:tc>
        <w:tc>
          <w:tcPr>
            <w:tcW w:w="4428" w:type="dxa"/>
          </w:tcPr>
          <w:p w:rsidR="001D7A1D" w:rsidRPr="00172010" w:rsidRDefault="00D546C3" w:rsidP="00794068">
            <w:pPr>
              <w:pStyle w:val="NoSpacing"/>
            </w:pPr>
            <w:r>
              <w:t xml:space="preserve">June </w:t>
            </w:r>
            <w:bookmarkStart w:id="0" w:name="_GoBack"/>
            <w:bookmarkEnd w:id="0"/>
            <w:r w:rsidR="001D7A1D">
              <w:t>2017</w:t>
            </w:r>
          </w:p>
        </w:tc>
      </w:tr>
      <w:tr w:rsidR="001D7A1D" w:rsidRPr="009B7134" w:rsidTr="00794068">
        <w:trPr>
          <w:jc w:val="center"/>
        </w:trPr>
        <w:tc>
          <w:tcPr>
            <w:tcW w:w="4428" w:type="dxa"/>
            <w:tcBorders>
              <w:bottom w:val="single" w:sz="4" w:space="0" w:color="auto"/>
            </w:tcBorders>
          </w:tcPr>
          <w:p w:rsidR="001D7A1D" w:rsidRPr="00172010" w:rsidRDefault="001D7A1D" w:rsidP="00794068">
            <w:pPr>
              <w:pStyle w:val="NoSpacing"/>
            </w:pPr>
            <w:r>
              <w:t>Date Ratified by Trust</w:t>
            </w:r>
          </w:p>
        </w:tc>
        <w:tc>
          <w:tcPr>
            <w:tcW w:w="4428" w:type="dxa"/>
            <w:tcBorders>
              <w:bottom w:val="single" w:sz="4" w:space="0" w:color="auto"/>
            </w:tcBorders>
          </w:tcPr>
          <w:p w:rsidR="001D7A1D" w:rsidRPr="00172010" w:rsidRDefault="001D7A1D" w:rsidP="00794068">
            <w:pPr>
              <w:pStyle w:val="NoSpacing"/>
            </w:pPr>
          </w:p>
        </w:tc>
      </w:tr>
      <w:tr w:rsidR="001D7A1D" w:rsidRPr="009B7134" w:rsidTr="00794068">
        <w:trPr>
          <w:jc w:val="center"/>
        </w:trPr>
        <w:tc>
          <w:tcPr>
            <w:tcW w:w="4428" w:type="dxa"/>
            <w:shd w:val="pct12" w:color="auto" w:fill="auto"/>
          </w:tcPr>
          <w:p w:rsidR="001D7A1D" w:rsidRPr="00172010" w:rsidRDefault="001D7A1D" w:rsidP="00794068">
            <w:pPr>
              <w:pStyle w:val="NoSpacing"/>
            </w:pPr>
          </w:p>
        </w:tc>
        <w:tc>
          <w:tcPr>
            <w:tcW w:w="4428" w:type="dxa"/>
            <w:shd w:val="pct12" w:color="auto" w:fill="auto"/>
          </w:tcPr>
          <w:p w:rsidR="001D7A1D" w:rsidRPr="00172010" w:rsidRDefault="001D7A1D" w:rsidP="00794068">
            <w:pPr>
              <w:pStyle w:val="NoSpacing"/>
            </w:pPr>
          </w:p>
        </w:tc>
      </w:tr>
      <w:tr w:rsidR="001D7A1D" w:rsidRPr="009B7134" w:rsidTr="00794068">
        <w:trPr>
          <w:jc w:val="center"/>
        </w:trPr>
        <w:tc>
          <w:tcPr>
            <w:tcW w:w="4428" w:type="dxa"/>
          </w:tcPr>
          <w:p w:rsidR="001D7A1D" w:rsidRPr="00172010" w:rsidRDefault="001D7A1D" w:rsidP="00794068">
            <w:pPr>
              <w:pStyle w:val="NoSpacing"/>
            </w:pPr>
            <w:r>
              <w:t>Signature of CEO</w:t>
            </w:r>
          </w:p>
        </w:tc>
        <w:tc>
          <w:tcPr>
            <w:tcW w:w="4428" w:type="dxa"/>
          </w:tcPr>
          <w:p w:rsidR="001D7A1D" w:rsidRPr="00172010" w:rsidRDefault="001D7A1D" w:rsidP="00794068">
            <w:pPr>
              <w:pStyle w:val="NoSpacing"/>
            </w:pPr>
          </w:p>
        </w:tc>
      </w:tr>
      <w:tr w:rsidR="001D7A1D" w:rsidRPr="009B7134" w:rsidTr="00794068">
        <w:trPr>
          <w:jc w:val="center"/>
        </w:trPr>
        <w:tc>
          <w:tcPr>
            <w:tcW w:w="4428" w:type="dxa"/>
          </w:tcPr>
          <w:p w:rsidR="001D7A1D" w:rsidRPr="00172010" w:rsidRDefault="001D7A1D" w:rsidP="00794068">
            <w:pPr>
              <w:pStyle w:val="NoSpacing"/>
            </w:pPr>
            <w:r>
              <w:t>Signature of Chair of Trust</w:t>
            </w:r>
          </w:p>
        </w:tc>
        <w:tc>
          <w:tcPr>
            <w:tcW w:w="4428" w:type="dxa"/>
          </w:tcPr>
          <w:p w:rsidR="001D7A1D" w:rsidRPr="00172010" w:rsidRDefault="001D7A1D" w:rsidP="00794068">
            <w:pPr>
              <w:pStyle w:val="NoSpacing"/>
            </w:pPr>
          </w:p>
        </w:tc>
      </w:tr>
    </w:tbl>
    <w:p w:rsidR="001D7A1D" w:rsidRPr="009B7134" w:rsidRDefault="001D7A1D" w:rsidP="001D7A1D">
      <w:pPr>
        <w:rPr>
          <w:rFonts w:cs="Arial"/>
        </w:rPr>
      </w:pPr>
    </w:p>
    <w:p w:rsidR="00F12A8F" w:rsidRDefault="00F12A8F">
      <w:pPr>
        <w:jc w:val="center"/>
        <w:rPr>
          <w:rFonts w:ascii="Calibri" w:hAnsi="Calibri" w:cs="Arial"/>
        </w:rPr>
      </w:pPr>
    </w:p>
    <w:p w:rsidR="00F12A8F" w:rsidRDefault="00F12A8F">
      <w:pPr>
        <w:jc w:val="center"/>
        <w:rPr>
          <w:rFonts w:ascii="Calibri" w:hAnsi="Calibri" w:cs="Arial"/>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eastAsiaTheme="majorEastAsia" w:hAnsi="Arial" w:cs="Arial"/>
          <w:b/>
          <w:bCs/>
          <w:color w:val="365F91" w:themeColor="accent1" w:themeShade="BF"/>
          <w:sz w:val="24"/>
          <w:szCs w:val="24"/>
        </w:rPr>
      </w:pPr>
    </w:p>
    <w:p w:rsidR="00E96988" w:rsidRDefault="00E96988">
      <w:pPr>
        <w:jc w:val="both"/>
        <w:rPr>
          <w:rFonts w:ascii="Arial" w:eastAsiaTheme="majorEastAsia" w:hAnsi="Arial" w:cs="Arial"/>
          <w:b/>
          <w:bCs/>
          <w:color w:val="365F91" w:themeColor="accent1" w:themeShade="BF"/>
          <w:sz w:val="24"/>
          <w:szCs w:val="24"/>
        </w:rPr>
      </w:pPr>
    </w:p>
    <w:p w:rsidR="00E96988" w:rsidRDefault="00E96988">
      <w:pPr>
        <w:jc w:val="both"/>
        <w:rPr>
          <w:rFonts w:ascii="Arial" w:eastAsiaTheme="majorEastAsia" w:hAnsi="Arial" w:cs="Arial"/>
          <w:b/>
          <w:bCs/>
          <w:color w:val="365F91" w:themeColor="accent1" w:themeShade="BF"/>
          <w:sz w:val="24"/>
          <w:szCs w:val="24"/>
        </w:rPr>
      </w:pPr>
    </w:p>
    <w:p w:rsidR="00952F74" w:rsidRDefault="00952F74">
      <w:pPr>
        <w:jc w:val="both"/>
        <w:rPr>
          <w:rFonts w:ascii="Arial" w:eastAsiaTheme="majorEastAsia" w:hAnsi="Arial" w:cs="Arial"/>
          <w:b/>
          <w:bCs/>
          <w:color w:val="365F91" w:themeColor="accent1" w:themeShade="BF"/>
          <w:sz w:val="24"/>
          <w:szCs w:val="24"/>
        </w:rPr>
      </w:pPr>
    </w:p>
    <w:p w:rsidR="00952F74" w:rsidRDefault="00952F74">
      <w:pPr>
        <w:jc w:val="both"/>
        <w:rPr>
          <w:rFonts w:ascii="Arial" w:eastAsiaTheme="majorEastAsia" w:hAnsi="Arial" w:cs="Arial"/>
          <w:b/>
          <w:bCs/>
          <w:color w:val="365F91" w:themeColor="accent1" w:themeShade="BF"/>
          <w:sz w:val="24"/>
          <w:szCs w:val="24"/>
        </w:rPr>
      </w:pPr>
    </w:p>
    <w:p w:rsidR="00952F74" w:rsidRDefault="00952F74">
      <w:pPr>
        <w:jc w:val="both"/>
        <w:rPr>
          <w:rFonts w:ascii="Arial" w:eastAsiaTheme="majorEastAsia" w:hAnsi="Arial" w:cs="Arial"/>
          <w:b/>
          <w:bCs/>
          <w:color w:val="365F91" w:themeColor="accent1" w:themeShade="BF"/>
          <w:sz w:val="24"/>
          <w:szCs w:val="24"/>
        </w:rPr>
      </w:pPr>
    </w:p>
    <w:p w:rsidR="00952F74" w:rsidRDefault="00952F74">
      <w:pPr>
        <w:jc w:val="both"/>
        <w:rPr>
          <w:rFonts w:ascii="Arial" w:eastAsiaTheme="majorEastAsia" w:hAnsi="Arial" w:cs="Arial"/>
          <w:b/>
          <w:bCs/>
          <w:color w:val="365F91" w:themeColor="accent1" w:themeShade="BF"/>
          <w:sz w:val="24"/>
          <w:szCs w:val="24"/>
        </w:rPr>
      </w:pPr>
    </w:p>
    <w:p w:rsidR="00952F74" w:rsidRDefault="00952F74" w:rsidP="00952F74"/>
    <w:sdt>
      <w:sdtPr>
        <w:rPr>
          <w:rFonts w:asciiTheme="minorHAnsi" w:eastAsiaTheme="minorHAnsi" w:hAnsiTheme="minorHAnsi" w:cstheme="minorBidi"/>
          <w:b w:val="0"/>
          <w:bCs w:val="0"/>
          <w:color w:val="auto"/>
          <w:sz w:val="22"/>
          <w:szCs w:val="22"/>
          <w:lang w:val="en-GB"/>
        </w:rPr>
        <w:id w:val="-434518349"/>
        <w:docPartObj>
          <w:docPartGallery w:val="Table of Contents"/>
          <w:docPartUnique/>
        </w:docPartObj>
      </w:sdtPr>
      <w:sdtEndPr>
        <w:rPr>
          <w:noProof/>
        </w:rPr>
      </w:sdtEndPr>
      <w:sdtContent>
        <w:p w:rsidR="00114EE6" w:rsidRPr="00FA1D1F" w:rsidRDefault="00114EE6" w:rsidP="00114EE6">
          <w:pPr>
            <w:pStyle w:val="TOCHeading"/>
            <w:jc w:val="center"/>
            <w:rPr>
              <w:rFonts w:asciiTheme="minorHAnsi" w:hAnsiTheme="minorHAnsi"/>
              <w:color w:val="auto"/>
              <w:sz w:val="24"/>
              <w:szCs w:val="24"/>
            </w:rPr>
          </w:pPr>
          <w:r w:rsidRPr="00FA1D1F">
            <w:rPr>
              <w:rFonts w:asciiTheme="minorHAnsi" w:hAnsiTheme="minorHAnsi"/>
              <w:color w:val="auto"/>
              <w:sz w:val="24"/>
              <w:szCs w:val="24"/>
            </w:rPr>
            <w:t>Contents</w:t>
          </w:r>
        </w:p>
        <w:p w:rsidR="00797A76" w:rsidRDefault="00114EE6">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478110163" w:history="1">
            <w:r w:rsidR="00797A76" w:rsidRPr="00237463">
              <w:rPr>
                <w:rStyle w:val="Hyperlink"/>
                <w:noProof/>
              </w:rPr>
              <w:t>1.0</w:t>
            </w:r>
            <w:r w:rsidR="00797A76">
              <w:rPr>
                <w:rFonts w:eastAsiaTheme="minorEastAsia"/>
                <w:noProof/>
                <w:lang w:eastAsia="en-GB"/>
              </w:rPr>
              <w:t xml:space="preserve"> </w:t>
            </w:r>
            <w:r w:rsidR="00797A76" w:rsidRPr="00237463">
              <w:rPr>
                <w:rStyle w:val="Hyperlink"/>
                <w:noProof/>
              </w:rPr>
              <w:t>Policy Statement</w:t>
            </w:r>
            <w:r w:rsidR="00797A76">
              <w:rPr>
                <w:noProof/>
                <w:webHidden/>
              </w:rPr>
              <w:tab/>
            </w:r>
            <w:r w:rsidR="00797A76">
              <w:rPr>
                <w:noProof/>
                <w:webHidden/>
              </w:rPr>
              <w:fldChar w:fldCharType="begin"/>
            </w:r>
            <w:r w:rsidR="00797A76">
              <w:rPr>
                <w:noProof/>
                <w:webHidden/>
              </w:rPr>
              <w:instrText xml:space="preserve"> PAGEREF _Toc478110163 \h </w:instrText>
            </w:r>
            <w:r w:rsidR="00797A76">
              <w:rPr>
                <w:noProof/>
                <w:webHidden/>
              </w:rPr>
            </w:r>
            <w:r w:rsidR="00797A76">
              <w:rPr>
                <w:noProof/>
                <w:webHidden/>
              </w:rPr>
              <w:fldChar w:fldCharType="separate"/>
            </w:r>
            <w:r w:rsidR="00C75038">
              <w:rPr>
                <w:noProof/>
                <w:webHidden/>
              </w:rPr>
              <w:t>3</w:t>
            </w:r>
            <w:r w:rsidR="00797A76">
              <w:rPr>
                <w:noProof/>
                <w:webHidden/>
              </w:rPr>
              <w:fldChar w:fldCharType="end"/>
            </w:r>
          </w:hyperlink>
        </w:p>
        <w:p w:rsidR="00797A76" w:rsidRDefault="00D546C3">
          <w:pPr>
            <w:pStyle w:val="TOC2"/>
            <w:tabs>
              <w:tab w:val="right" w:leader="dot" w:pos="9016"/>
            </w:tabs>
            <w:rPr>
              <w:rFonts w:eastAsiaTheme="minorEastAsia"/>
              <w:noProof/>
              <w:lang w:eastAsia="en-GB"/>
            </w:rPr>
          </w:pPr>
          <w:hyperlink w:anchor="_Toc478110164" w:history="1">
            <w:r w:rsidR="00797A76" w:rsidRPr="00237463">
              <w:rPr>
                <w:rStyle w:val="Hyperlink"/>
                <w:noProof/>
                <w:lang w:val="en"/>
              </w:rPr>
              <w:t>1.1 The Equality Act 2010</w:t>
            </w:r>
            <w:r w:rsidR="00797A76">
              <w:rPr>
                <w:noProof/>
                <w:webHidden/>
              </w:rPr>
              <w:tab/>
            </w:r>
            <w:r w:rsidR="00797A76">
              <w:rPr>
                <w:noProof/>
                <w:webHidden/>
              </w:rPr>
              <w:fldChar w:fldCharType="begin"/>
            </w:r>
            <w:r w:rsidR="00797A76">
              <w:rPr>
                <w:noProof/>
                <w:webHidden/>
              </w:rPr>
              <w:instrText xml:space="preserve"> PAGEREF _Toc478110164 \h </w:instrText>
            </w:r>
            <w:r w:rsidR="00797A76">
              <w:rPr>
                <w:noProof/>
                <w:webHidden/>
              </w:rPr>
            </w:r>
            <w:r w:rsidR="00797A76">
              <w:rPr>
                <w:noProof/>
                <w:webHidden/>
              </w:rPr>
              <w:fldChar w:fldCharType="separate"/>
            </w:r>
            <w:r w:rsidR="00C75038">
              <w:rPr>
                <w:noProof/>
                <w:webHidden/>
              </w:rPr>
              <w:t>3</w:t>
            </w:r>
            <w:r w:rsidR="00797A76">
              <w:rPr>
                <w:noProof/>
                <w:webHidden/>
              </w:rPr>
              <w:fldChar w:fldCharType="end"/>
            </w:r>
          </w:hyperlink>
        </w:p>
        <w:p w:rsidR="00797A76" w:rsidRDefault="00D546C3">
          <w:pPr>
            <w:pStyle w:val="TOC2"/>
            <w:tabs>
              <w:tab w:val="right" w:leader="dot" w:pos="9016"/>
            </w:tabs>
            <w:rPr>
              <w:rFonts w:eastAsiaTheme="minorEastAsia"/>
              <w:noProof/>
              <w:lang w:eastAsia="en-GB"/>
            </w:rPr>
          </w:pPr>
          <w:hyperlink w:anchor="_Toc478110165" w:history="1">
            <w:r w:rsidR="00797A76" w:rsidRPr="00237463">
              <w:rPr>
                <w:rStyle w:val="Hyperlink"/>
                <w:noProof/>
                <w:lang w:val="en"/>
              </w:rPr>
              <w:t>2.1 Public Sector Equality Duty</w:t>
            </w:r>
            <w:r w:rsidR="00797A76">
              <w:rPr>
                <w:noProof/>
                <w:webHidden/>
              </w:rPr>
              <w:tab/>
            </w:r>
            <w:r w:rsidR="00797A76">
              <w:rPr>
                <w:noProof/>
                <w:webHidden/>
              </w:rPr>
              <w:fldChar w:fldCharType="begin"/>
            </w:r>
            <w:r w:rsidR="00797A76">
              <w:rPr>
                <w:noProof/>
                <w:webHidden/>
              </w:rPr>
              <w:instrText xml:space="preserve"> PAGEREF _Toc478110165 \h </w:instrText>
            </w:r>
            <w:r w:rsidR="00797A76">
              <w:rPr>
                <w:noProof/>
                <w:webHidden/>
              </w:rPr>
            </w:r>
            <w:r w:rsidR="00797A76">
              <w:rPr>
                <w:noProof/>
                <w:webHidden/>
              </w:rPr>
              <w:fldChar w:fldCharType="separate"/>
            </w:r>
            <w:r w:rsidR="00C75038">
              <w:rPr>
                <w:noProof/>
                <w:webHidden/>
              </w:rPr>
              <w:t>3</w:t>
            </w:r>
            <w:r w:rsidR="00797A76">
              <w:rPr>
                <w:noProof/>
                <w:webHidden/>
              </w:rPr>
              <w:fldChar w:fldCharType="end"/>
            </w:r>
          </w:hyperlink>
        </w:p>
        <w:p w:rsidR="00797A76" w:rsidRDefault="00D546C3">
          <w:pPr>
            <w:pStyle w:val="TOC1"/>
            <w:tabs>
              <w:tab w:val="left" w:pos="660"/>
              <w:tab w:val="right" w:leader="dot" w:pos="9016"/>
            </w:tabs>
            <w:rPr>
              <w:rFonts w:eastAsiaTheme="minorEastAsia"/>
              <w:noProof/>
              <w:lang w:eastAsia="en-GB"/>
            </w:rPr>
          </w:pPr>
          <w:hyperlink w:anchor="_Toc478110166" w:history="1">
            <w:r w:rsidR="00797A76" w:rsidRPr="00237463">
              <w:rPr>
                <w:rStyle w:val="Hyperlink"/>
                <w:noProof/>
              </w:rPr>
              <w:t>2.0</w:t>
            </w:r>
            <w:r w:rsidR="00797A76">
              <w:rPr>
                <w:rFonts w:eastAsiaTheme="minorEastAsia"/>
                <w:noProof/>
                <w:lang w:eastAsia="en-GB"/>
              </w:rPr>
              <w:t xml:space="preserve"> </w:t>
            </w:r>
            <w:r w:rsidR="00797A76" w:rsidRPr="00237463">
              <w:rPr>
                <w:rStyle w:val="Hyperlink"/>
                <w:noProof/>
              </w:rPr>
              <w:t>Principles</w:t>
            </w:r>
            <w:r w:rsidR="00797A76">
              <w:rPr>
                <w:noProof/>
                <w:webHidden/>
              </w:rPr>
              <w:tab/>
            </w:r>
            <w:r w:rsidR="00797A76">
              <w:rPr>
                <w:noProof/>
                <w:webHidden/>
              </w:rPr>
              <w:fldChar w:fldCharType="begin"/>
            </w:r>
            <w:r w:rsidR="00797A76">
              <w:rPr>
                <w:noProof/>
                <w:webHidden/>
              </w:rPr>
              <w:instrText xml:space="preserve"> PAGEREF _Toc478110166 \h </w:instrText>
            </w:r>
            <w:r w:rsidR="00797A76">
              <w:rPr>
                <w:noProof/>
                <w:webHidden/>
              </w:rPr>
            </w:r>
            <w:r w:rsidR="00797A76">
              <w:rPr>
                <w:noProof/>
                <w:webHidden/>
              </w:rPr>
              <w:fldChar w:fldCharType="separate"/>
            </w:r>
            <w:r w:rsidR="00C75038">
              <w:rPr>
                <w:noProof/>
                <w:webHidden/>
              </w:rPr>
              <w:t>3</w:t>
            </w:r>
            <w:r w:rsidR="00797A76">
              <w:rPr>
                <w:noProof/>
                <w:webHidden/>
              </w:rPr>
              <w:fldChar w:fldCharType="end"/>
            </w:r>
          </w:hyperlink>
        </w:p>
        <w:p w:rsidR="00797A76" w:rsidRDefault="00D546C3">
          <w:pPr>
            <w:pStyle w:val="TOC1"/>
            <w:tabs>
              <w:tab w:val="right" w:leader="dot" w:pos="9016"/>
            </w:tabs>
            <w:rPr>
              <w:rFonts w:eastAsiaTheme="minorEastAsia"/>
              <w:noProof/>
              <w:lang w:eastAsia="en-GB"/>
            </w:rPr>
          </w:pPr>
          <w:hyperlink w:anchor="_Toc478110167" w:history="1">
            <w:r w:rsidR="00797A76" w:rsidRPr="00237463">
              <w:rPr>
                <w:rStyle w:val="Hyperlink"/>
                <w:rFonts w:cstheme="minorHAnsi"/>
                <w:noProof/>
                <w:lang w:val="en"/>
              </w:rPr>
              <w:t>3.0 Policies and Information</w:t>
            </w:r>
            <w:r w:rsidR="00797A76">
              <w:rPr>
                <w:noProof/>
                <w:webHidden/>
              </w:rPr>
              <w:tab/>
            </w:r>
            <w:r w:rsidR="00797A76">
              <w:rPr>
                <w:noProof/>
                <w:webHidden/>
              </w:rPr>
              <w:fldChar w:fldCharType="begin"/>
            </w:r>
            <w:r w:rsidR="00797A76">
              <w:rPr>
                <w:noProof/>
                <w:webHidden/>
              </w:rPr>
              <w:instrText xml:space="preserve"> PAGEREF _Toc478110167 \h </w:instrText>
            </w:r>
            <w:r w:rsidR="00797A76">
              <w:rPr>
                <w:noProof/>
                <w:webHidden/>
              </w:rPr>
            </w:r>
            <w:r w:rsidR="00797A76">
              <w:rPr>
                <w:noProof/>
                <w:webHidden/>
              </w:rPr>
              <w:fldChar w:fldCharType="separate"/>
            </w:r>
            <w:r w:rsidR="00C75038">
              <w:rPr>
                <w:noProof/>
                <w:webHidden/>
              </w:rPr>
              <w:t>4</w:t>
            </w:r>
            <w:r w:rsidR="00797A76">
              <w:rPr>
                <w:noProof/>
                <w:webHidden/>
              </w:rPr>
              <w:fldChar w:fldCharType="end"/>
            </w:r>
          </w:hyperlink>
        </w:p>
        <w:p w:rsidR="00797A76" w:rsidRDefault="00D546C3">
          <w:pPr>
            <w:pStyle w:val="TOC1"/>
            <w:tabs>
              <w:tab w:val="right" w:leader="dot" w:pos="9016"/>
            </w:tabs>
            <w:rPr>
              <w:rFonts w:eastAsiaTheme="minorEastAsia"/>
              <w:noProof/>
              <w:lang w:eastAsia="en-GB"/>
            </w:rPr>
          </w:pPr>
          <w:hyperlink w:anchor="_Toc478110168" w:history="1">
            <w:r w:rsidR="00797A76" w:rsidRPr="00237463">
              <w:rPr>
                <w:rStyle w:val="Hyperlink"/>
                <w:rFonts w:cstheme="minorHAnsi"/>
                <w:noProof/>
                <w:lang w:val="en"/>
              </w:rPr>
              <w:t>4.0 Supporting Organisations and Documentation</w:t>
            </w:r>
            <w:r w:rsidR="00797A76">
              <w:rPr>
                <w:noProof/>
                <w:webHidden/>
              </w:rPr>
              <w:tab/>
            </w:r>
            <w:r w:rsidR="00797A76">
              <w:rPr>
                <w:noProof/>
                <w:webHidden/>
              </w:rPr>
              <w:fldChar w:fldCharType="begin"/>
            </w:r>
            <w:r w:rsidR="00797A76">
              <w:rPr>
                <w:noProof/>
                <w:webHidden/>
              </w:rPr>
              <w:instrText xml:space="preserve"> PAGEREF _Toc478110168 \h </w:instrText>
            </w:r>
            <w:r w:rsidR="00797A76">
              <w:rPr>
                <w:noProof/>
                <w:webHidden/>
              </w:rPr>
            </w:r>
            <w:r w:rsidR="00797A76">
              <w:rPr>
                <w:noProof/>
                <w:webHidden/>
              </w:rPr>
              <w:fldChar w:fldCharType="separate"/>
            </w:r>
            <w:r w:rsidR="00C75038">
              <w:rPr>
                <w:noProof/>
                <w:webHidden/>
              </w:rPr>
              <w:t>5</w:t>
            </w:r>
            <w:r w:rsidR="00797A76">
              <w:rPr>
                <w:noProof/>
                <w:webHidden/>
              </w:rPr>
              <w:fldChar w:fldCharType="end"/>
            </w:r>
          </w:hyperlink>
        </w:p>
        <w:p w:rsidR="00797A76" w:rsidRDefault="00D546C3">
          <w:pPr>
            <w:pStyle w:val="TOC2"/>
            <w:tabs>
              <w:tab w:val="right" w:leader="dot" w:pos="9016"/>
            </w:tabs>
            <w:rPr>
              <w:rFonts w:eastAsiaTheme="minorEastAsia"/>
              <w:noProof/>
              <w:lang w:eastAsia="en-GB"/>
            </w:rPr>
          </w:pPr>
          <w:hyperlink w:anchor="_Toc478110169" w:history="1">
            <w:r w:rsidR="00797A76" w:rsidRPr="00237463">
              <w:rPr>
                <w:rStyle w:val="Hyperlink"/>
                <w:noProof/>
              </w:rPr>
              <w:t>4.1 Equality and Human Rights Commission</w:t>
            </w:r>
            <w:r w:rsidR="00797A76">
              <w:rPr>
                <w:noProof/>
                <w:webHidden/>
              </w:rPr>
              <w:tab/>
            </w:r>
            <w:r w:rsidR="00797A76">
              <w:rPr>
                <w:noProof/>
                <w:webHidden/>
              </w:rPr>
              <w:fldChar w:fldCharType="begin"/>
            </w:r>
            <w:r w:rsidR="00797A76">
              <w:rPr>
                <w:noProof/>
                <w:webHidden/>
              </w:rPr>
              <w:instrText xml:space="preserve"> PAGEREF _Toc478110169 \h </w:instrText>
            </w:r>
            <w:r w:rsidR="00797A76">
              <w:rPr>
                <w:noProof/>
                <w:webHidden/>
              </w:rPr>
            </w:r>
            <w:r w:rsidR="00797A76">
              <w:rPr>
                <w:noProof/>
                <w:webHidden/>
              </w:rPr>
              <w:fldChar w:fldCharType="separate"/>
            </w:r>
            <w:r w:rsidR="00C75038">
              <w:rPr>
                <w:noProof/>
                <w:webHidden/>
              </w:rPr>
              <w:t>5</w:t>
            </w:r>
            <w:r w:rsidR="00797A76">
              <w:rPr>
                <w:noProof/>
                <w:webHidden/>
              </w:rPr>
              <w:fldChar w:fldCharType="end"/>
            </w:r>
          </w:hyperlink>
        </w:p>
        <w:p w:rsidR="00797A76" w:rsidRDefault="00D546C3">
          <w:pPr>
            <w:pStyle w:val="TOC2"/>
            <w:tabs>
              <w:tab w:val="right" w:leader="dot" w:pos="9016"/>
            </w:tabs>
            <w:rPr>
              <w:rFonts w:eastAsiaTheme="minorEastAsia"/>
              <w:noProof/>
              <w:lang w:eastAsia="en-GB"/>
            </w:rPr>
          </w:pPr>
          <w:hyperlink w:anchor="_Toc478110170" w:history="1">
            <w:r w:rsidR="00797A76" w:rsidRPr="00237463">
              <w:rPr>
                <w:rStyle w:val="Hyperlink"/>
                <w:noProof/>
              </w:rPr>
              <w:t>4.2 Department for Education Non-statutory Advice</w:t>
            </w:r>
            <w:r w:rsidR="00797A76">
              <w:rPr>
                <w:noProof/>
                <w:webHidden/>
              </w:rPr>
              <w:tab/>
            </w:r>
            <w:r w:rsidR="00797A76">
              <w:rPr>
                <w:noProof/>
                <w:webHidden/>
              </w:rPr>
              <w:fldChar w:fldCharType="begin"/>
            </w:r>
            <w:r w:rsidR="00797A76">
              <w:rPr>
                <w:noProof/>
                <w:webHidden/>
              </w:rPr>
              <w:instrText xml:space="preserve"> PAGEREF _Toc478110170 \h </w:instrText>
            </w:r>
            <w:r w:rsidR="00797A76">
              <w:rPr>
                <w:noProof/>
                <w:webHidden/>
              </w:rPr>
            </w:r>
            <w:r w:rsidR="00797A76">
              <w:rPr>
                <w:noProof/>
                <w:webHidden/>
              </w:rPr>
              <w:fldChar w:fldCharType="separate"/>
            </w:r>
            <w:r w:rsidR="00C75038">
              <w:rPr>
                <w:noProof/>
                <w:webHidden/>
              </w:rPr>
              <w:t>5</w:t>
            </w:r>
            <w:r w:rsidR="00797A76">
              <w:rPr>
                <w:noProof/>
                <w:webHidden/>
              </w:rPr>
              <w:fldChar w:fldCharType="end"/>
            </w:r>
          </w:hyperlink>
        </w:p>
        <w:p w:rsidR="00797A76" w:rsidRDefault="00D546C3">
          <w:pPr>
            <w:pStyle w:val="TOC2"/>
            <w:tabs>
              <w:tab w:val="right" w:leader="dot" w:pos="9016"/>
            </w:tabs>
            <w:rPr>
              <w:rFonts w:eastAsiaTheme="minorEastAsia"/>
              <w:noProof/>
              <w:lang w:eastAsia="en-GB"/>
            </w:rPr>
          </w:pPr>
          <w:hyperlink w:anchor="_Toc478110171" w:history="1">
            <w:r w:rsidR="00797A76" w:rsidRPr="00237463">
              <w:rPr>
                <w:rStyle w:val="Hyperlink"/>
                <w:noProof/>
              </w:rPr>
              <w:t>4.4 Disability</w:t>
            </w:r>
            <w:r w:rsidR="00797A76">
              <w:rPr>
                <w:noProof/>
                <w:webHidden/>
              </w:rPr>
              <w:tab/>
            </w:r>
            <w:r w:rsidR="00797A76">
              <w:rPr>
                <w:noProof/>
                <w:webHidden/>
              </w:rPr>
              <w:fldChar w:fldCharType="begin"/>
            </w:r>
            <w:r w:rsidR="00797A76">
              <w:rPr>
                <w:noProof/>
                <w:webHidden/>
              </w:rPr>
              <w:instrText xml:space="preserve"> PAGEREF _Toc478110171 \h </w:instrText>
            </w:r>
            <w:r w:rsidR="00797A76">
              <w:rPr>
                <w:noProof/>
                <w:webHidden/>
              </w:rPr>
            </w:r>
            <w:r w:rsidR="00797A76">
              <w:rPr>
                <w:noProof/>
                <w:webHidden/>
              </w:rPr>
              <w:fldChar w:fldCharType="separate"/>
            </w:r>
            <w:r w:rsidR="00C75038">
              <w:rPr>
                <w:noProof/>
                <w:webHidden/>
              </w:rPr>
              <w:t>5</w:t>
            </w:r>
            <w:r w:rsidR="00797A76">
              <w:rPr>
                <w:noProof/>
                <w:webHidden/>
              </w:rPr>
              <w:fldChar w:fldCharType="end"/>
            </w:r>
          </w:hyperlink>
        </w:p>
        <w:p w:rsidR="00114EE6" w:rsidRDefault="00114EE6">
          <w:r>
            <w:rPr>
              <w:b/>
              <w:bCs/>
              <w:noProof/>
            </w:rPr>
            <w:fldChar w:fldCharType="end"/>
          </w:r>
        </w:p>
      </w:sdtContent>
    </w:sdt>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E02176" w:rsidRDefault="00E0217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E96988" w:rsidRDefault="00E96988" w:rsidP="00952F74"/>
    <w:p w:rsidR="00AA667C" w:rsidRDefault="00AA667C" w:rsidP="00952F74"/>
    <w:p w:rsidR="00AA667C" w:rsidRDefault="00AA667C" w:rsidP="00952F74"/>
    <w:p w:rsidR="00AA667C" w:rsidRDefault="00AA667C" w:rsidP="00952F74"/>
    <w:p w:rsidR="00AA667C" w:rsidRDefault="00AA667C" w:rsidP="00952F74"/>
    <w:p w:rsidR="00AA667C" w:rsidRDefault="00AA667C" w:rsidP="00952F74"/>
    <w:p w:rsidR="00AA667C" w:rsidRDefault="00AA667C" w:rsidP="00952F74"/>
    <w:p w:rsidR="00AA667C" w:rsidRDefault="00AA667C" w:rsidP="00952F74"/>
    <w:p w:rsidR="00AA667C" w:rsidRDefault="00AA667C" w:rsidP="00952F74"/>
    <w:p w:rsidR="00114EE6" w:rsidRPr="009014E6" w:rsidRDefault="00114EE6" w:rsidP="00952F74"/>
    <w:p w:rsidR="008838E5" w:rsidRPr="00E4309F" w:rsidRDefault="00E311BB" w:rsidP="008838E5">
      <w:pPr>
        <w:pStyle w:val="Heading1"/>
        <w:numPr>
          <w:ilvl w:val="0"/>
          <w:numId w:val="5"/>
        </w:numPr>
        <w:rPr>
          <w:rFonts w:asciiTheme="minorHAnsi" w:hAnsiTheme="minorHAnsi"/>
          <w:bCs w:val="0"/>
          <w:color w:val="auto"/>
        </w:rPr>
      </w:pPr>
      <w:r>
        <w:rPr>
          <w:rFonts w:asciiTheme="minorHAnsi" w:hAnsiTheme="minorHAnsi"/>
          <w:bCs w:val="0"/>
          <w:color w:val="auto"/>
        </w:rPr>
        <w:lastRenderedPageBreak/>
        <w:t xml:space="preserve"> </w:t>
      </w:r>
      <w:bookmarkStart w:id="1" w:name="_Toc478110163"/>
      <w:r>
        <w:rPr>
          <w:rFonts w:asciiTheme="minorHAnsi" w:hAnsiTheme="minorHAnsi"/>
          <w:bCs w:val="0"/>
          <w:color w:val="auto"/>
        </w:rPr>
        <w:t xml:space="preserve">Policy </w:t>
      </w:r>
      <w:r w:rsidR="00AA667C" w:rsidRPr="00AA667C">
        <w:rPr>
          <w:rFonts w:asciiTheme="minorHAnsi" w:hAnsiTheme="minorHAnsi"/>
          <w:bCs w:val="0"/>
          <w:color w:val="auto"/>
        </w:rPr>
        <w:t>Statement</w:t>
      </w:r>
      <w:bookmarkEnd w:id="1"/>
    </w:p>
    <w:p w:rsidR="00E4309F" w:rsidRPr="00E4309F" w:rsidRDefault="00E4309F" w:rsidP="00E4309F">
      <w:pPr>
        <w:pStyle w:val="Heading2"/>
        <w:rPr>
          <w:rFonts w:asciiTheme="minorHAnsi" w:hAnsiTheme="minorHAnsi"/>
          <w:color w:val="auto"/>
          <w:sz w:val="22"/>
          <w:szCs w:val="22"/>
          <w:lang w:val="en"/>
        </w:rPr>
      </w:pPr>
      <w:bookmarkStart w:id="2" w:name="_Toc478110164"/>
      <w:r>
        <w:rPr>
          <w:rFonts w:asciiTheme="minorHAnsi" w:hAnsiTheme="minorHAnsi"/>
          <w:color w:val="auto"/>
          <w:sz w:val="22"/>
          <w:szCs w:val="22"/>
          <w:lang w:val="en"/>
        </w:rPr>
        <w:t>1.1 The E</w:t>
      </w:r>
      <w:r w:rsidRPr="00E4309F">
        <w:rPr>
          <w:rFonts w:asciiTheme="minorHAnsi" w:hAnsiTheme="minorHAnsi"/>
          <w:color w:val="auto"/>
          <w:sz w:val="22"/>
          <w:szCs w:val="22"/>
          <w:lang w:val="en"/>
        </w:rPr>
        <w:t>quality Act 2010</w:t>
      </w:r>
      <w:bookmarkEnd w:id="2"/>
    </w:p>
    <w:p w:rsidR="00E4309F" w:rsidRDefault="00E4309F" w:rsidP="00E6179A">
      <w:pPr>
        <w:pStyle w:val="NoSpacing"/>
        <w:rPr>
          <w:lang w:val="en"/>
        </w:rPr>
      </w:pPr>
    </w:p>
    <w:p w:rsidR="00E4309F" w:rsidRDefault="00E6179A" w:rsidP="00E6179A">
      <w:pPr>
        <w:pStyle w:val="NoSpacing"/>
      </w:pPr>
      <w:r>
        <w:rPr>
          <w:lang w:val="en"/>
        </w:rPr>
        <w:t>The Equality Act 2010 provides a modern, single legal framework with three broad duties</w:t>
      </w:r>
      <w:r>
        <w:t xml:space="preserve">: </w:t>
      </w:r>
    </w:p>
    <w:p w:rsidR="00E4309F" w:rsidRDefault="00E4309F" w:rsidP="00E6179A">
      <w:pPr>
        <w:pStyle w:val="NoSpacing"/>
      </w:pPr>
    </w:p>
    <w:p w:rsidR="00E4309F" w:rsidRPr="00DF0012" w:rsidRDefault="00E4309F" w:rsidP="00E4309F">
      <w:pPr>
        <w:pStyle w:val="ListParagraph"/>
        <w:numPr>
          <w:ilvl w:val="0"/>
          <w:numId w:val="2"/>
        </w:numPr>
        <w:autoSpaceDE w:val="0"/>
        <w:autoSpaceDN w:val="0"/>
        <w:adjustRightInd w:val="0"/>
        <w:spacing w:after="0" w:line="240" w:lineRule="auto"/>
      </w:pPr>
      <w:r>
        <w:t>E</w:t>
      </w:r>
      <w:r w:rsidR="00E6179A">
        <w:t xml:space="preserve">liminate </w:t>
      </w:r>
      <w:r>
        <w:t xml:space="preserve">unlawful discrimination, </w:t>
      </w:r>
      <w:r w:rsidRPr="00DF0012">
        <w:t>harassment, victimisation and any other conduct</w:t>
      </w:r>
      <w:r>
        <w:t xml:space="preserve"> prohibited by the Equality Act.</w:t>
      </w:r>
      <w:r w:rsidRPr="00DF0012">
        <w:t xml:space="preserve"> </w:t>
      </w:r>
    </w:p>
    <w:p w:rsidR="00E4309F" w:rsidRPr="00DF0012" w:rsidRDefault="00E4309F" w:rsidP="00E4309F">
      <w:pPr>
        <w:pStyle w:val="ListParagraph"/>
        <w:numPr>
          <w:ilvl w:val="0"/>
          <w:numId w:val="2"/>
        </w:numPr>
        <w:autoSpaceDE w:val="0"/>
        <w:autoSpaceDN w:val="0"/>
        <w:adjustRightInd w:val="0"/>
        <w:spacing w:after="0" w:line="240" w:lineRule="auto"/>
      </w:pPr>
      <w:r w:rsidRPr="00DF0012">
        <w:t>Advance equality of opportunity between people who share a protected characteristic</w:t>
      </w:r>
      <w:r>
        <w:t xml:space="preserve"> and people who do not share it.</w:t>
      </w:r>
      <w:r w:rsidRPr="00DF0012">
        <w:t xml:space="preserve"> </w:t>
      </w:r>
    </w:p>
    <w:p w:rsidR="00E6179A" w:rsidRDefault="00E4309F" w:rsidP="00E4309F">
      <w:pPr>
        <w:pStyle w:val="ListParagraph"/>
        <w:numPr>
          <w:ilvl w:val="0"/>
          <w:numId w:val="2"/>
        </w:numPr>
        <w:autoSpaceDE w:val="0"/>
        <w:autoSpaceDN w:val="0"/>
        <w:adjustRightInd w:val="0"/>
        <w:spacing w:after="0" w:line="240" w:lineRule="auto"/>
      </w:pPr>
      <w:r w:rsidRPr="00DF0012">
        <w:t xml:space="preserve">Foster good relations between people who share a protected characteristic and those who do not share it. </w:t>
      </w:r>
    </w:p>
    <w:p w:rsidR="00E6179A" w:rsidRDefault="00E6179A" w:rsidP="00E6179A">
      <w:pPr>
        <w:pStyle w:val="NoSpacing"/>
      </w:pPr>
    </w:p>
    <w:p w:rsidR="00E6179A" w:rsidRDefault="00E6179A" w:rsidP="00E6179A">
      <w:pPr>
        <w:pStyle w:val="NoSpacing"/>
      </w:pPr>
      <w:r>
        <w:t xml:space="preserve">The Trust fully understands the importance of the Act and the work needed to ensure that those with </w:t>
      </w:r>
      <w:r w:rsidR="00E4309F">
        <w:t>‘</w:t>
      </w:r>
      <w:r>
        <w:t>protected characteristics</w:t>
      </w:r>
      <w:r w:rsidR="00E4309F">
        <w:t>’</w:t>
      </w:r>
      <w:r>
        <w:t xml:space="preserve"> are not discriminated against and are given equality of opportunity.</w:t>
      </w:r>
    </w:p>
    <w:p w:rsidR="00E6179A" w:rsidRDefault="00E6179A" w:rsidP="00E6179A">
      <w:pPr>
        <w:pStyle w:val="NoSpacing"/>
      </w:pPr>
    </w:p>
    <w:p w:rsidR="00E6179A" w:rsidRDefault="00E6179A" w:rsidP="00E6179A">
      <w:pPr>
        <w:pStyle w:val="NoSpacing"/>
      </w:pPr>
      <w:r>
        <w:t>A protected characteristic under the Act covers the following groups:</w:t>
      </w:r>
    </w:p>
    <w:p w:rsidR="00E6179A" w:rsidRDefault="00E6179A" w:rsidP="00E6179A">
      <w:pPr>
        <w:pStyle w:val="NoSpacing"/>
      </w:pPr>
    </w:p>
    <w:p w:rsidR="00E6179A" w:rsidRDefault="00E6179A" w:rsidP="00E6179A">
      <w:pPr>
        <w:pStyle w:val="ListParagraph"/>
        <w:numPr>
          <w:ilvl w:val="0"/>
          <w:numId w:val="2"/>
        </w:numPr>
        <w:autoSpaceDE w:val="0"/>
        <w:autoSpaceDN w:val="0"/>
        <w:adjustRightInd w:val="0"/>
        <w:spacing w:after="0" w:line="240" w:lineRule="auto"/>
      </w:pPr>
      <w:r>
        <w:t>Age.</w:t>
      </w:r>
    </w:p>
    <w:p w:rsidR="00E6179A" w:rsidRDefault="00E6179A" w:rsidP="00E6179A">
      <w:pPr>
        <w:pStyle w:val="ListParagraph"/>
        <w:numPr>
          <w:ilvl w:val="0"/>
          <w:numId w:val="2"/>
        </w:numPr>
        <w:autoSpaceDE w:val="0"/>
        <w:autoSpaceDN w:val="0"/>
        <w:adjustRightInd w:val="0"/>
        <w:spacing w:after="0" w:line="240" w:lineRule="auto"/>
      </w:pPr>
      <w:r>
        <w:t>Disability.</w:t>
      </w:r>
    </w:p>
    <w:p w:rsidR="00E6179A" w:rsidRDefault="00E6179A" w:rsidP="00E6179A">
      <w:pPr>
        <w:pStyle w:val="ListParagraph"/>
        <w:numPr>
          <w:ilvl w:val="0"/>
          <w:numId w:val="2"/>
        </w:numPr>
        <w:autoSpaceDE w:val="0"/>
        <w:autoSpaceDN w:val="0"/>
        <w:adjustRightInd w:val="0"/>
        <w:spacing w:after="0" w:line="240" w:lineRule="auto"/>
      </w:pPr>
      <w:r>
        <w:t>Race.</w:t>
      </w:r>
    </w:p>
    <w:p w:rsidR="00E6179A" w:rsidRDefault="00E6179A" w:rsidP="00E6179A">
      <w:pPr>
        <w:pStyle w:val="ListParagraph"/>
        <w:numPr>
          <w:ilvl w:val="0"/>
          <w:numId w:val="2"/>
        </w:numPr>
        <w:autoSpaceDE w:val="0"/>
        <w:autoSpaceDN w:val="0"/>
        <w:adjustRightInd w:val="0"/>
        <w:spacing w:after="0" w:line="240" w:lineRule="auto"/>
      </w:pPr>
      <w:r>
        <w:t>Sex (including issues of transgender).</w:t>
      </w:r>
    </w:p>
    <w:p w:rsidR="00E6179A" w:rsidRDefault="00E6179A" w:rsidP="00E6179A">
      <w:pPr>
        <w:pStyle w:val="ListParagraph"/>
        <w:numPr>
          <w:ilvl w:val="0"/>
          <w:numId w:val="2"/>
        </w:numPr>
        <w:autoSpaceDE w:val="0"/>
        <w:autoSpaceDN w:val="0"/>
        <w:adjustRightInd w:val="0"/>
        <w:spacing w:after="0" w:line="240" w:lineRule="auto"/>
      </w:pPr>
      <w:r>
        <w:t>Gender reassignment.</w:t>
      </w:r>
    </w:p>
    <w:p w:rsidR="00E6179A" w:rsidRDefault="00E6179A" w:rsidP="00E6179A">
      <w:pPr>
        <w:pStyle w:val="ListParagraph"/>
        <w:numPr>
          <w:ilvl w:val="0"/>
          <w:numId w:val="2"/>
        </w:numPr>
        <w:autoSpaceDE w:val="0"/>
        <w:autoSpaceDN w:val="0"/>
        <w:adjustRightInd w:val="0"/>
        <w:spacing w:after="0" w:line="240" w:lineRule="auto"/>
      </w:pPr>
      <w:r>
        <w:t>Maternity and pregnancy.</w:t>
      </w:r>
    </w:p>
    <w:p w:rsidR="00E6179A" w:rsidRDefault="00E6179A" w:rsidP="00E6179A">
      <w:pPr>
        <w:pStyle w:val="ListParagraph"/>
        <w:numPr>
          <w:ilvl w:val="0"/>
          <w:numId w:val="2"/>
        </w:numPr>
        <w:autoSpaceDE w:val="0"/>
        <w:autoSpaceDN w:val="0"/>
        <w:adjustRightInd w:val="0"/>
        <w:spacing w:after="0" w:line="240" w:lineRule="auto"/>
      </w:pPr>
      <w:r>
        <w:t>Religion and belief.</w:t>
      </w:r>
    </w:p>
    <w:p w:rsidR="00E6179A" w:rsidRDefault="00E6179A" w:rsidP="00E6179A">
      <w:pPr>
        <w:pStyle w:val="ListParagraph"/>
        <w:numPr>
          <w:ilvl w:val="0"/>
          <w:numId w:val="2"/>
        </w:numPr>
        <w:autoSpaceDE w:val="0"/>
        <w:autoSpaceDN w:val="0"/>
        <w:adjustRightInd w:val="0"/>
        <w:spacing w:after="0" w:line="240" w:lineRule="auto"/>
      </w:pPr>
      <w:r>
        <w:t>Sexual orientation.</w:t>
      </w:r>
    </w:p>
    <w:p w:rsidR="00E6179A" w:rsidRDefault="00E6179A" w:rsidP="00E6179A">
      <w:pPr>
        <w:pStyle w:val="ListParagraph"/>
        <w:numPr>
          <w:ilvl w:val="0"/>
          <w:numId w:val="2"/>
        </w:numPr>
        <w:autoSpaceDE w:val="0"/>
        <w:autoSpaceDN w:val="0"/>
        <w:adjustRightInd w:val="0"/>
        <w:spacing w:after="0" w:line="240" w:lineRule="auto"/>
      </w:pPr>
      <w:r>
        <w:t>Marriage and civil partnership (for employees).</w:t>
      </w:r>
    </w:p>
    <w:p w:rsidR="00E311BB" w:rsidRDefault="00E311BB" w:rsidP="00AA667C">
      <w:pPr>
        <w:autoSpaceDE w:val="0"/>
        <w:autoSpaceDN w:val="0"/>
        <w:adjustRightInd w:val="0"/>
      </w:pPr>
    </w:p>
    <w:p w:rsidR="00E4309F" w:rsidRPr="00E4309F" w:rsidRDefault="00E4309F" w:rsidP="00E4309F">
      <w:pPr>
        <w:pStyle w:val="Heading2"/>
        <w:rPr>
          <w:rFonts w:asciiTheme="minorHAnsi" w:hAnsiTheme="minorHAnsi"/>
          <w:color w:val="auto"/>
          <w:sz w:val="22"/>
          <w:szCs w:val="22"/>
          <w:lang w:val="en"/>
        </w:rPr>
      </w:pPr>
      <w:bookmarkStart w:id="3" w:name="_Toc478110165"/>
      <w:r>
        <w:rPr>
          <w:rFonts w:asciiTheme="minorHAnsi" w:hAnsiTheme="minorHAnsi"/>
          <w:color w:val="auto"/>
          <w:sz w:val="22"/>
          <w:szCs w:val="22"/>
          <w:lang w:val="en"/>
        </w:rPr>
        <w:t>2.1 Public Sector Equality Duty</w:t>
      </w:r>
      <w:bookmarkEnd w:id="3"/>
    </w:p>
    <w:p w:rsidR="00E4309F" w:rsidRDefault="00E4309F" w:rsidP="00AA667C">
      <w:pPr>
        <w:autoSpaceDE w:val="0"/>
        <w:autoSpaceDN w:val="0"/>
        <w:adjustRightInd w:val="0"/>
      </w:pPr>
    </w:p>
    <w:p w:rsidR="00E4309F" w:rsidRDefault="00E4309F" w:rsidP="00AA667C">
      <w:pPr>
        <w:autoSpaceDE w:val="0"/>
        <w:autoSpaceDN w:val="0"/>
        <w:adjustRightInd w:val="0"/>
      </w:pPr>
      <w:r>
        <w:t>The Act requires all public organisations, including schools, to comply with the Public Sector Equality Duty which has two specific duties:</w:t>
      </w:r>
    </w:p>
    <w:p w:rsidR="00E4309F" w:rsidRPr="00E4309F" w:rsidRDefault="00E4309F" w:rsidP="00E4309F">
      <w:pPr>
        <w:autoSpaceDE w:val="0"/>
        <w:autoSpaceDN w:val="0"/>
        <w:adjustRightInd w:val="0"/>
        <w:rPr>
          <w:rFonts w:ascii="Calibri" w:hAnsi="Calibri" w:cs="Calibri"/>
          <w:color w:val="000000"/>
          <w:sz w:val="24"/>
          <w:szCs w:val="24"/>
        </w:rPr>
      </w:pPr>
    </w:p>
    <w:p w:rsidR="00E4309F" w:rsidRPr="00E4309F" w:rsidRDefault="00E4309F" w:rsidP="00E4309F">
      <w:pPr>
        <w:pStyle w:val="NoSpacing"/>
        <w:numPr>
          <w:ilvl w:val="0"/>
          <w:numId w:val="16"/>
        </w:numPr>
      </w:pPr>
      <w:r w:rsidRPr="00E4309F">
        <w:t>Publish information to show compliance with the Equality Duty.</w:t>
      </w:r>
    </w:p>
    <w:p w:rsidR="00DE1E5F" w:rsidRDefault="00E4309F" w:rsidP="00DE1E5F">
      <w:pPr>
        <w:pStyle w:val="NoSpacing"/>
        <w:numPr>
          <w:ilvl w:val="0"/>
          <w:numId w:val="16"/>
        </w:numPr>
      </w:pPr>
      <w:r>
        <w:t>Publish e</w:t>
      </w:r>
      <w:r w:rsidRPr="00E4309F">
        <w:t>quality objectives at least every 4 years which are specific and measurable.</w:t>
      </w:r>
    </w:p>
    <w:p w:rsidR="00DE1E5F" w:rsidRPr="00E4309F" w:rsidRDefault="00DE1E5F" w:rsidP="00DE1E5F">
      <w:pPr>
        <w:pStyle w:val="Heading1"/>
        <w:numPr>
          <w:ilvl w:val="0"/>
          <w:numId w:val="5"/>
        </w:numPr>
        <w:rPr>
          <w:rFonts w:asciiTheme="minorHAnsi" w:hAnsiTheme="minorHAnsi"/>
          <w:bCs w:val="0"/>
          <w:color w:val="auto"/>
        </w:rPr>
      </w:pPr>
      <w:r>
        <w:rPr>
          <w:rFonts w:asciiTheme="minorHAnsi" w:hAnsiTheme="minorHAnsi"/>
          <w:bCs w:val="0"/>
          <w:color w:val="auto"/>
        </w:rPr>
        <w:t xml:space="preserve"> </w:t>
      </w:r>
      <w:bookmarkStart w:id="4" w:name="_Toc478110166"/>
      <w:r>
        <w:rPr>
          <w:rFonts w:asciiTheme="minorHAnsi" w:hAnsiTheme="minorHAnsi"/>
          <w:bCs w:val="0"/>
          <w:color w:val="auto"/>
        </w:rPr>
        <w:t>Principles</w:t>
      </w:r>
      <w:bookmarkEnd w:id="4"/>
    </w:p>
    <w:p w:rsidR="00DF5953" w:rsidRDefault="00DF5953" w:rsidP="00DE1E5F">
      <w:pPr>
        <w:autoSpaceDE w:val="0"/>
        <w:autoSpaceDN w:val="0"/>
        <w:adjustRightInd w:val="0"/>
      </w:pPr>
    </w:p>
    <w:p w:rsidR="00DE1E5F" w:rsidRPr="00DE1E5F" w:rsidRDefault="00DF5953" w:rsidP="00DE1E5F">
      <w:pPr>
        <w:autoSpaceDE w:val="0"/>
        <w:autoSpaceDN w:val="0"/>
        <w:adjustRightInd w:val="0"/>
      </w:pPr>
      <w:r>
        <w:t>The Trust’s</w:t>
      </w:r>
      <w:r w:rsidR="00DE1E5F" w:rsidRPr="00DE1E5F">
        <w:t xml:space="preserve"> approach to equality is based on</w:t>
      </w:r>
      <w:r>
        <w:t xml:space="preserve"> the following </w:t>
      </w:r>
      <w:r w:rsidR="00DE1E5F" w:rsidRPr="00DE1E5F">
        <w:t>principles:</w:t>
      </w:r>
    </w:p>
    <w:p w:rsidR="00DE1E5F" w:rsidRPr="00DE1E5F" w:rsidRDefault="00DE1E5F" w:rsidP="00DE1E5F">
      <w:pPr>
        <w:autoSpaceDE w:val="0"/>
        <w:autoSpaceDN w:val="0"/>
        <w:adjustRightInd w:val="0"/>
      </w:pPr>
    </w:p>
    <w:p w:rsidR="00DF5953" w:rsidRDefault="00DF5953" w:rsidP="000852C6">
      <w:pPr>
        <w:pStyle w:val="ListParagraph"/>
        <w:numPr>
          <w:ilvl w:val="0"/>
          <w:numId w:val="18"/>
        </w:numPr>
        <w:autoSpaceDE w:val="0"/>
        <w:autoSpaceDN w:val="0"/>
        <w:adjustRightInd w:val="0"/>
      </w:pPr>
      <w:r>
        <w:t>All pupils</w:t>
      </w:r>
      <w:r w:rsidR="00DE1E5F" w:rsidRPr="00DE1E5F">
        <w:t xml:space="preserve"> are of equal value.</w:t>
      </w:r>
    </w:p>
    <w:p w:rsidR="00DE1E5F" w:rsidRDefault="00DF5953" w:rsidP="000852C6">
      <w:pPr>
        <w:pStyle w:val="ListParagraph"/>
        <w:numPr>
          <w:ilvl w:val="0"/>
          <w:numId w:val="18"/>
        </w:numPr>
        <w:autoSpaceDE w:val="0"/>
        <w:autoSpaceDN w:val="0"/>
        <w:adjustRightInd w:val="0"/>
      </w:pPr>
      <w:r>
        <w:t xml:space="preserve">All pupils are expected to achieve their potential. </w:t>
      </w:r>
    </w:p>
    <w:p w:rsidR="000852C6" w:rsidRDefault="00DF5953" w:rsidP="000852C6">
      <w:pPr>
        <w:pStyle w:val="ListParagraph"/>
        <w:numPr>
          <w:ilvl w:val="0"/>
          <w:numId w:val="18"/>
        </w:numPr>
        <w:autoSpaceDE w:val="0"/>
        <w:autoSpaceDN w:val="0"/>
        <w:adjustRightInd w:val="0"/>
      </w:pPr>
      <w:r>
        <w:t xml:space="preserve">Barriers to learning </w:t>
      </w:r>
      <w:r w:rsidR="000852C6">
        <w:t xml:space="preserve">are addressed proactively and robustly. </w:t>
      </w:r>
    </w:p>
    <w:p w:rsidR="000852C6" w:rsidRDefault="00DF5953" w:rsidP="000852C6">
      <w:pPr>
        <w:pStyle w:val="ListParagraph"/>
        <w:numPr>
          <w:ilvl w:val="0"/>
          <w:numId w:val="18"/>
        </w:numPr>
        <w:autoSpaceDE w:val="0"/>
        <w:autoSpaceDN w:val="0"/>
        <w:adjustRightInd w:val="0"/>
      </w:pPr>
      <w:r>
        <w:t>Diversity is re</w:t>
      </w:r>
      <w:r w:rsidR="000852C6">
        <w:t>cognised, respected and valued.</w:t>
      </w:r>
    </w:p>
    <w:p w:rsidR="00DE1E5F" w:rsidRDefault="00DF5953" w:rsidP="000852C6">
      <w:pPr>
        <w:pStyle w:val="ListParagraph"/>
        <w:numPr>
          <w:ilvl w:val="0"/>
          <w:numId w:val="18"/>
        </w:numPr>
        <w:autoSpaceDE w:val="0"/>
        <w:autoSpaceDN w:val="0"/>
        <w:adjustRightInd w:val="0"/>
      </w:pPr>
      <w:r>
        <w:t xml:space="preserve">Positive attitudes, relationships and mutual respect are actively promoted. </w:t>
      </w:r>
    </w:p>
    <w:p w:rsidR="000852C6" w:rsidRDefault="000852C6" w:rsidP="000852C6">
      <w:pPr>
        <w:pStyle w:val="ListParagraph"/>
        <w:numPr>
          <w:ilvl w:val="0"/>
          <w:numId w:val="18"/>
        </w:numPr>
        <w:autoSpaceDE w:val="0"/>
        <w:autoSpaceDN w:val="0"/>
        <w:adjustRightInd w:val="0"/>
      </w:pPr>
      <w:r>
        <w:t xml:space="preserve">Full and active participation in school life is actively encouraged. </w:t>
      </w:r>
    </w:p>
    <w:p w:rsidR="00DE1E5F" w:rsidRPr="00DE1E5F" w:rsidRDefault="000852C6" w:rsidP="00DE1E5F">
      <w:pPr>
        <w:pStyle w:val="ListParagraph"/>
        <w:numPr>
          <w:ilvl w:val="0"/>
          <w:numId w:val="18"/>
        </w:numPr>
        <w:autoSpaceDE w:val="0"/>
        <w:autoSpaceDN w:val="0"/>
        <w:adjustRightInd w:val="0"/>
      </w:pPr>
      <w:r>
        <w:t>Effective equalities practice is evident in the Trust’s policies and procedures.</w:t>
      </w:r>
    </w:p>
    <w:p w:rsidR="00AA667C" w:rsidRPr="002A3B23" w:rsidRDefault="000852C6" w:rsidP="000852C6">
      <w:pPr>
        <w:pStyle w:val="Heading1"/>
        <w:spacing w:line="276" w:lineRule="auto"/>
        <w:rPr>
          <w:rFonts w:asciiTheme="minorHAnsi" w:hAnsiTheme="minorHAnsi" w:cstheme="minorHAnsi"/>
          <w:color w:val="auto"/>
          <w:lang w:val="en"/>
        </w:rPr>
      </w:pPr>
      <w:bookmarkStart w:id="5" w:name="_Toc454968274"/>
      <w:bookmarkStart w:id="6" w:name="_Toc478110167"/>
      <w:r>
        <w:rPr>
          <w:rFonts w:asciiTheme="minorHAnsi" w:hAnsiTheme="minorHAnsi" w:cstheme="minorHAnsi"/>
          <w:color w:val="auto"/>
          <w:lang w:val="en"/>
        </w:rPr>
        <w:lastRenderedPageBreak/>
        <w:t xml:space="preserve">3.0 </w:t>
      </w:r>
      <w:r w:rsidR="00AA667C" w:rsidRPr="002A3B23">
        <w:rPr>
          <w:rFonts w:asciiTheme="minorHAnsi" w:hAnsiTheme="minorHAnsi" w:cstheme="minorHAnsi"/>
          <w:color w:val="auto"/>
          <w:lang w:val="en"/>
        </w:rPr>
        <w:t>Polic</w:t>
      </w:r>
      <w:r w:rsidR="00AA667C">
        <w:rPr>
          <w:rFonts w:asciiTheme="minorHAnsi" w:hAnsiTheme="minorHAnsi" w:cstheme="minorHAnsi"/>
          <w:color w:val="auto"/>
          <w:lang w:val="en"/>
        </w:rPr>
        <w:t>ies</w:t>
      </w:r>
      <w:bookmarkEnd w:id="5"/>
      <w:r w:rsidR="00DE1E5F">
        <w:rPr>
          <w:rFonts w:asciiTheme="minorHAnsi" w:hAnsiTheme="minorHAnsi" w:cstheme="minorHAnsi"/>
          <w:color w:val="auto"/>
          <w:lang w:val="en"/>
        </w:rPr>
        <w:t xml:space="preserve"> and Information</w:t>
      </w:r>
      <w:bookmarkEnd w:id="6"/>
      <w:r w:rsidR="00DE1E5F">
        <w:rPr>
          <w:rFonts w:asciiTheme="minorHAnsi" w:hAnsiTheme="minorHAnsi" w:cstheme="minorHAnsi"/>
          <w:color w:val="auto"/>
          <w:lang w:val="en"/>
        </w:rPr>
        <w:t xml:space="preserve"> </w:t>
      </w:r>
    </w:p>
    <w:p w:rsidR="00AA667C" w:rsidRPr="001C4CE0" w:rsidRDefault="00AA667C" w:rsidP="00AA667C">
      <w:pPr>
        <w:pStyle w:val="NoSpacing"/>
        <w:rPr>
          <w:lang w:val="en"/>
        </w:rPr>
      </w:pPr>
    </w:p>
    <w:p w:rsidR="002406F0" w:rsidRDefault="00E6179A" w:rsidP="00AA667C">
      <w:pPr>
        <w:pStyle w:val="NoSpacing"/>
        <w:rPr>
          <w:lang w:val="en"/>
        </w:rPr>
      </w:pPr>
      <w:r>
        <w:t xml:space="preserve">The Trust </w:t>
      </w:r>
      <w:r w:rsidR="00AA667C">
        <w:t xml:space="preserve">has a range of policies which </w:t>
      </w:r>
      <w:r w:rsidR="00DE1E5F">
        <w:rPr>
          <w:lang w:val="en"/>
        </w:rPr>
        <w:t xml:space="preserve">draws together a range of </w:t>
      </w:r>
      <w:r w:rsidR="00AA667C">
        <w:rPr>
          <w:lang w:val="en"/>
        </w:rPr>
        <w:t>previous equality legisla</w:t>
      </w:r>
      <w:r w:rsidR="00DE1E5F">
        <w:rPr>
          <w:lang w:val="en"/>
        </w:rPr>
        <w:t>tion and details how the Trust</w:t>
      </w:r>
      <w:r w:rsidR="00AA667C">
        <w:rPr>
          <w:lang w:val="en"/>
        </w:rPr>
        <w:t xml:space="preserve"> is fulfilling the requirements of the Equality Act 2010. </w:t>
      </w:r>
    </w:p>
    <w:p w:rsidR="002406F0" w:rsidRDefault="002406F0" w:rsidP="00AA667C">
      <w:pPr>
        <w:pStyle w:val="NoSpacing"/>
        <w:rPr>
          <w:lang w:val="en"/>
        </w:rPr>
      </w:pPr>
    </w:p>
    <w:p w:rsidR="00AA667C" w:rsidRDefault="00AA667C" w:rsidP="00AA667C">
      <w:pPr>
        <w:pStyle w:val="NoSpacing"/>
        <w:rPr>
          <w:lang w:val="en"/>
        </w:rPr>
      </w:pPr>
      <w:r>
        <w:rPr>
          <w:lang w:val="en"/>
        </w:rPr>
        <w:t>The main polic</w:t>
      </w:r>
      <w:r w:rsidR="00E6179A">
        <w:rPr>
          <w:lang w:val="en"/>
        </w:rPr>
        <w:t>ies accessed via the Trust</w:t>
      </w:r>
      <w:r>
        <w:rPr>
          <w:lang w:val="en"/>
        </w:rPr>
        <w:t xml:space="preserve">’s website include: </w:t>
      </w:r>
    </w:p>
    <w:p w:rsidR="00AA667C" w:rsidRDefault="00AA667C" w:rsidP="00AA667C">
      <w:pPr>
        <w:pStyle w:val="NoSpacing"/>
        <w:rPr>
          <w:lang w:val="en"/>
        </w:rPr>
      </w:pPr>
    </w:p>
    <w:p w:rsidR="00797A76" w:rsidRDefault="00797A76" w:rsidP="00E6179A">
      <w:pPr>
        <w:pStyle w:val="NoSpacing"/>
        <w:numPr>
          <w:ilvl w:val="0"/>
          <w:numId w:val="10"/>
        </w:numPr>
        <w:rPr>
          <w:lang w:val="en"/>
        </w:rPr>
      </w:pPr>
      <w:r>
        <w:rPr>
          <w:lang w:val="en"/>
        </w:rPr>
        <w:t>Equality Policy.</w:t>
      </w:r>
    </w:p>
    <w:p w:rsidR="00AA667C" w:rsidRDefault="00AA667C" w:rsidP="00E6179A">
      <w:pPr>
        <w:pStyle w:val="NoSpacing"/>
        <w:numPr>
          <w:ilvl w:val="0"/>
          <w:numId w:val="10"/>
        </w:numPr>
        <w:rPr>
          <w:lang w:val="en"/>
        </w:rPr>
      </w:pPr>
      <w:r>
        <w:rPr>
          <w:lang w:val="en"/>
        </w:rPr>
        <w:t>Recruitment Policy.</w:t>
      </w:r>
    </w:p>
    <w:p w:rsidR="002406F0" w:rsidRDefault="002406F0" w:rsidP="00E6179A">
      <w:pPr>
        <w:pStyle w:val="NoSpacing"/>
        <w:numPr>
          <w:ilvl w:val="0"/>
          <w:numId w:val="10"/>
        </w:numPr>
        <w:rPr>
          <w:lang w:val="en"/>
        </w:rPr>
      </w:pPr>
      <w:r>
        <w:rPr>
          <w:lang w:val="en"/>
        </w:rPr>
        <w:t>Probation Policy.</w:t>
      </w:r>
    </w:p>
    <w:p w:rsidR="002406F0" w:rsidRDefault="002406F0" w:rsidP="00E6179A">
      <w:pPr>
        <w:pStyle w:val="NoSpacing"/>
        <w:numPr>
          <w:ilvl w:val="0"/>
          <w:numId w:val="10"/>
        </w:numPr>
        <w:rPr>
          <w:lang w:val="en"/>
        </w:rPr>
      </w:pPr>
      <w:r>
        <w:rPr>
          <w:lang w:val="en"/>
        </w:rPr>
        <w:t>Code of Conduct Policy.</w:t>
      </w:r>
    </w:p>
    <w:p w:rsidR="00AA667C" w:rsidRDefault="00AA667C" w:rsidP="00E6179A">
      <w:pPr>
        <w:pStyle w:val="NoSpacing"/>
        <w:numPr>
          <w:ilvl w:val="0"/>
          <w:numId w:val="10"/>
        </w:numPr>
        <w:rPr>
          <w:lang w:val="en"/>
        </w:rPr>
      </w:pPr>
      <w:r>
        <w:rPr>
          <w:lang w:val="en"/>
        </w:rPr>
        <w:t>Grievance Policy.</w:t>
      </w:r>
    </w:p>
    <w:p w:rsidR="002406F0" w:rsidRDefault="002406F0" w:rsidP="00E6179A">
      <w:pPr>
        <w:pStyle w:val="NoSpacing"/>
        <w:numPr>
          <w:ilvl w:val="0"/>
          <w:numId w:val="10"/>
        </w:numPr>
        <w:rPr>
          <w:lang w:val="en"/>
        </w:rPr>
      </w:pPr>
      <w:r>
        <w:rPr>
          <w:lang w:val="en"/>
        </w:rPr>
        <w:t>Complaints Policy.</w:t>
      </w:r>
    </w:p>
    <w:p w:rsidR="00E6179A" w:rsidRDefault="00E6179A" w:rsidP="00E6179A">
      <w:pPr>
        <w:pStyle w:val="NoSpacing"/>
        <w:numPr>
          <w:ilvl w:val="0"/>
          <w:numId w:val="10"/>
        </w:numPr>
        <w:rPr>
          <w:lang w:val="en"/>
        </w:rPr>
      </w:pPr>
      <w:r>
        <w:rPr>
          <w:lang w:val="en"/>
        </w:rPr>
        <w:t>Leave of Absence Policy</w:t>
      </w:r>
    </w:p>
    <w:p w:rsidR="00AA667C" w:rsidRDefault="00AA667C" w:rsidP="00E6179A">
      <w:pPr>
        <w:pStyle w:val="NoSpacing"/>
        <w:numPr>
          <w:ilvl w:val="0"/>
          <w:numId w:val="10"/>
        </w:numPr>
        <w:rPr>
          <w:lang w:val="en"/>
        </w:rPr>
      </w:pPr>
      <w:r>
        <w:rPr>
          <w:lang w:val="en"/>
        </w:rPr>
        <w:t>Sickness-Absence Policy.</w:t>
      </w:r>
    </w:p>
    <w:p w:rsidR="002406F0" w:rsidRDefault="002406F0" w:rsidP="00E6179A">
      <w:pPr>
        <w:pStyle w:val="NoSpacing"/>
        <w:numPr>
          <w:ilvl w:val="0"/>
          <w:numId w:val="10"/>
        </w:numPr>
        <w:rPr>
          <w:lang w:val="en"/>
        </w:rPr>
      </w:pPr>
      <w:r>
        <w:rPr>
          <w:lang w:val="en"/>
        </w:rPr>
        <w:t>Performance Management Policy.</w:t>
      </w:r>
    </w:p>
    <w:p w:rsidR="00AA667C" w:rsidRDefault="00AA667C" w:rsidP="008838E5">
      <w:pPr>
        <w:pStyle w:val="NoSpacing"/>
        <w:numPr>
          <w:ilvl w:val="0"/>
          <w:numId w:val="10"/>
        </w:numPr>
        <w:rPr>
          <w:lang w:val="en"/>
        </w:rPr>
      </w:pPr>
      <w:r>
        <w:rPr>
          <w:lang w:val="en"/>
        </w:rPr>
        <w:t>Disciplinary Misconduct Policy.</w:t>
      </w:r>
    </w:p>
    <w:p w:rsidR="002406F0" w:rsidRDefault="002406F0" w:rsidP="008838E5">
      <w:pPr>
        <w:pStyle w:val="NoSpacing"/>
        <w:numPr>
          <w:ilvl w:val="0"/>
          <w:numId w:val="10"/>
        </w:numPr>
        <w:rPr>
          <w:lang w:val="en"/>
        </w:rPr>
      </w:pPr>
      <w:r>
        <w:rPr>
          <w:lang w:val="en"/>
        </w:rPr>
        <w:t xml:space="preserve">Whistleblowing Policy. </w:t>
      </w:r>
    </w:p>
    <w:p w:rsidR="009635A5" w:rsidRDefault="009635A5" w:rsidP="009635A5">
      <w:pPr>
        <w:pStyle w:val="NoSpacing"/>
        <w:rPr>
          <w:lang w:val="en"/>
        </w:rPr>
      </w:pPr>
    </w:p>
    <w:p w:rsidR="009635A5" w:rsidRDefault="00DE1E5F" w:rsidP="009635A5">
      <w:pPr>
        <w:pStyle w:val="NoSpacing"/>
        <w:rPr>
          <w:lang w:val="en"/>
        </w:rPr>
      </w:pPr>
      <w:r>
        <w:rPr>
          <w:lang w:val="en"/>
        </w:rPr>
        <w:t xml:space="preserve">Additional information </w:t>
      </w:r>
      <w:r w:rsidR="009635A5">
        <w:rPr>
          <w:lang w:val="en"/>
        </w:rPr>
        <w:t>can be can be accessed via constituent academies’ website</w:t>
      </w:r>
      <w:r w:rsidR="00F514B3">
        <w:rPr>
          <w:lang w:val="en"/>
        </w:rPr>
        <w:t>s</w:t>
      </w:r>
      <w:r w:rsidR="009635A5">
        <w:rPr>
          <w:lang w:val="en"/>
        </w:rPr>
        <w:t xml:space="preserve"> which include:</w:t>
      </w:r>
    </w:p>
    <w:p w:rsidR="009635A5" w:rsidRDefault="009635A5" w:rsidP="009635A5">
      <w:pPr>
        <w:pStyle w:val="NoSpacing"/>
        <w:rPr>
          <w:lang w:val="en"/>
        </w:rPr>
      </w:pPr>
    </w:p>
    <w:p w:rsidR="00DE1E5F" w:rsidRDefault="00DE1E5F" w:rsidP="009635A5">
      <w:pPr>
        <w:pStyle w:val="NoSpacing"/>
        <w:numPr>
          <w:ilvl w:val="0"/>
          <w:numId w:val="13"/>
        </w:numPr>
        <w:rPr>
          <w:lang w:val="en"/>
        </w:rPr>
      </w:pPr>
      <w:r>
        <w:rPr>
          <w:lang w:val="en"/>
        </w:rPr>
        <w:t xml:space="preserve">Quality objectives. </w:t>
      </w:r>
    </w:p>
    <w:p w:rsidR="00DE1E5F" w:rsidRDefault="00DE1E5F" w:rsidP="009635A5">
      <w:pPr>
        <w:pStyle w:val="NoSpacing"/>
        <w:numPr>
          <w:ilvl w:val="0"/>
          <w:numId w:val="13"/>
        </w:numPr>
        <w:rPr>
          <w:lang w:val="en"/>
        </w:rPr>
      </w:pPr>
      <w:r>
        <w:rPr>
          <w:lang w:val="en"/>
        </w:rPr>
        <w:t xml:space="preserve">Equality data. </w:t>
      </w:r>
    </w:p>
    <w:p w:rsidR="009635A5" w:rsidRDefault="009635A5" w:rsidP="009635A5">
      <w:pPr>
        <w:pStyle w:val="NoSpacing"/>
        <w:numPr>
          <w:ilvl w:val="0"/>
          <w:numId w:val="13"/>
        </w:numPr>
        <w:rPr>
          <w:lang w:val="en"/>
        </w:rPr>
      </w:pPr>
      <w:r>
        <w:rPr>
          <w:lang w:val="en"/>
        </w:rPr>
        <w:t>Accessibility Plan.</w:t>
      </w:r>
    </w:p>
    <w:p w:rsidR="00C23754" w:rsidRDefault="00C23754" w:rsidP="009635A5">
      <w:pPr>
        <w:pStyle w:val="NoSpacing"/>
        <w:numPr>
          <w:ilvl w:val="0"/>
          <w:numId w:val="13"/>
        </w:numPr>
        <w:rPr>
          <w:lang w:val="en"/>
        </w:rPr>
      </w:pPr>
      <w:r>
        <w:rPr>
          <w:lang w:val="en"/>
        </w:rPr>
        <w:t>Admissions Policy.</w:t>
      </w:r>
    </w:p>
    <w:p w:rsidR="009635A5" w:rsidRDefault="009635A5" w:rsidP="009635A5">
      <w:pPr>
        <w:pStyle w:val="NoSpacing"/>
        <w:numPr>
          <w:ilvl w:val="0"/>
          <w:numId w:val="13"/>
        </w:numPr>
        <w:rPr>
          <w:lang w:val="en"/>
        </w:rPr>
      </w:pPr>
      <w:r>
        <w:rPr>
          <w:lang w:val="en"/>
        </w:rPr>
        <w:t>SEN Policy.</w:t>
      </w:r>
    </w:p>
    <w:p w:rsidR="009635A5" w:rsidRDefault="009635A5" w:rsidP="009635A5">
      <w:pPr>
        <w:pStyle w:val="NoSpacing"/>
        <w:numPr>
          <w:ilvl w:val="0"/>
          <w:numId w:val="13"/>
        </w:numPr>
        <w:rPr>
          <w:lang w:val="en"/>
        </w:rPr>
      </w:pPr>
      <w:r>
        <w:rPr>
          <w:lang w:val="en"/>
        </w:rPr>
        <w:t>Curriculum Policy</w:t>
      </w:r>
    </w:p>
    <w:p w:rsidR="009635A5" w:rsidRPr="00264B9F" w:rsidRDefault="009635A5" w:rsidP="009635A5">
      <w:pPr>
        <w:pStyle w:val="NoSpacing"/>
        <w:numPr>
          <w:ilvl w:val="0"/>
          <w:numId w:val="13"/>
        </w:numPr>
        <w:rPr>
          <w:lang w:val="en"/>
        </w:rPr>
      </w:pPr>
      <w:proofErr w:type="spellStart"/>
      <w:r>
        <w:rPr>
          <w:lang w:val="en"/>
        </w:rPr>
        <w:t>Behaviour</w:t>
      </w:r>
      <w:proofErr w:type="spellEnd"/>
      <w:r>
        <w:rPr>
          <w:lang w:val="en"/>
        </w:rPr>
        <w:t xml:space="preserve"> and Discipline Policy. </w:t>
      </w:r>
    </w:p>
    <w:p w:rsidR="00E6179A" w:rsidRDefault="00E6179A" w:rsidP="008838E5">
      <w:pPr>
        <w:pStyle w:val="NoSpacing"/>
        <w:rPr>
          <w:snapToGrid w:val="0"/>
        </w:rPr>
      </w:pPr>
    </w:p>
    <w:p w:rsidR="00264B9F" w:rsidRDefault="00264B9F" w:rsidP="00264B9F">
      <w:pPr>
        <w:autoSpaceDE w:val="0"/>
        <w:autoSpaceDN w:val="0"/>
        <w:adjustRightInd w:val="0"/>
      </w:pPr>
    </w:p>
    <w:p w:rsidR="00264B9F" w:rsidRDefault="00264B9F" w:rsidP="00264B9F">
      <w:pPr>
        <w:autoSpaceDE w:val="0"/>
        <w:autoSpaceDN w:val="0"/>
        <w:adjustRightInd w:val="0"/>
      </w:pPr>
    </w:p>
    <w:p w:rsidR="00264B9F" w:rsidRDefault="00264B9F" w:rsidP="00264B9F">
      <w:pPr>
        <w:autoSpaceDE w:val="0"/>
        <w:autoSpaceDN w:val="0"/>
        <w:adjustRightInd w:val="0"/>
      </w:pPr>
    </w:p>
    <w:p w:rsidR="00797A76" w:rsidRDefault="00797A76" w:rsidP="00264B9F">
      <w:pPr>
        <w:autoSpaceDE w:val="0"/>
        <w:autoSpaceDN w:val="0"/>
        <w:adjustRightInd w:val="0"/>
      </w:pPr>
    </w:p>
    <w:p w:rsidR="00797A76" w:rsidRDefault="00797A76" w:rsidP="00264B9F">
      <w:pPr>
        <w:autoSpaceDE w:val="0"/>
        <w:autoSpaceDN w:val="0"/>
        <w:adjustRightInd w:val="0"/>
      </w:pPr>
    </w:p>
    <w:p w:rsidR="00797A76" w:rsidRDefault="00797A76" w:rsidP="00264B9F">
      <w:pPr>
        <w:autoSpaceDE w:val="0"/>
        <w:autoSpaceDN w:val="0"/>
        <w:adjustRightInd w:val="0"/>
      </w:pPr>
    </w:p>
    <w:p w:rsidR="00797A76" w:rsidRDefault="00797A76" w:rsidP="00264B9F">
      <w:pPr>
        <w:autoSpaceDE w:val="0"/>
        <w:autoSpaceDN w:val="0"/>
        <w:adjustRightInd w:val="0"/>
      </w:pPr>
    </w:p>
    <w:p w:rsidR="00797A76" w:rsidRDefault="00797A76" w:rsidP="00264B9F">
      <w:pPr>
        <w:autoSpaceDE w:val="0"/>
        <w:autoSpaceDN w:val="0"/>
        <w:adjustRightInd w:val="0"/>
      </w:pPr>
    </w:p>
    <w:p w:rsidR="00797A76" w:rsidRDefault="00797A76" w:rsidP="00264B9F">
      <w:pPr>
        <w:autoSpaceDE w:val="0"/>
        <w:autoSpaceDN w:val="0"/>
        <w:adjustRightInd w:val="0"/>
      </w:pPr>
    </w:p>
    <w:p w:rsidR="00797A76" w:rsidRDefault="00797A76" w:rsidP="00264B9F">
      <w:pPr>
        <w:autoSpaceDE w:val="0"/>
        <w:autoSpaceDN w:val="0"/>
        <w:adjustRightInd w:val="0"/>
      </w:pPr>
    </w:p>
    <w:p w:rsidR="00797A76" w:rsidRDefault="00797A76" w:rsidP="00264B9F">
      <w:pPr>
        <w:autoSpaceDE w:val="0"/>
        <w:autoSpaceDN w:val="0"/>
        <w:adjustRightInd w:val="0"/>
      </w:pPr>
    </w:p>
    <w:p w:rsidR="00797A76" w:rsidRDefault="00797A76" w:rsidP="00264B9F">
      <w:pPr>
        <w:autoSpaceDE w:val="0"/>
        <w:autoSpaceDN w:val="0"/>
        <w:adjustRightInd w:val="0"/>
      </w:pPr>
    </w:p>
    <w:p w:rsidR="00797A76" w:rsidRDefault="00797A76" w:rsidP="00264B9F">
      <w:pPr>
        <w:autoSpaceDE w:val="0"/>
        <w:autoSpaceDN w:val="0"/>
        <w:adjustRightInd w:val="0"/>
      </w:pPr>
    </w:p>
    <w:p w:rsidR="0038538D" w:rsidRDefault="0038538D" w:rsidP="00264B9F">
      <w:pPr>
        <w:autoSpaceDE w:val="0"/>
        <w:autoSpaceDN w:val="0"/>
        <w:adjustRightInd w:val="0"/>
      </w:pPr>
    </w:p>
    <w:p w:rsidR="00797A76" w:rsidRDefault="00797A76" w:rsidP="00264B9F">
      <w:pPr>
        <w:autoSpaceDE w:val="0"/>
        <w:autoSpaceDN w:val="0"/>
        <w:adjustRightInd w:val="0"/>
      </w:pPr>
    </w:p>
    <w:p w:rsidR="00797A76" w:rsidRDefault="00797A76" w:rsidP="00264B9F">
      <w:pPr>
        <w:autoSpaceDE w:val="0"/>
        <w:autoSpaceDN w:val="0"/>
        <w:adjustRightInd w:val="0"/>
      </w:pPr>
    </w:p>
    <w:p w:rsidR="00797A76" w:rsidRDefault="00797A76" w:rsidP="00264B9F">
      <w:pPr>
        <w:autoSpaceDE w:val="0"/>
        <w:autoSpaceDN w:val="0"/>
        <w:adjustRightInd w:val="0"/>
      </w:pPr>
    </w:p>
    <w:p w:rsidR="00264B9F" w:rsidRDefault="00264B9F" w:rsidP="00264B9F">
      <w:pPr>
        <w:autoSpaceDE w:val="0"/>
        <w:autoSpaceDN w:val="0"/>
        <w:adjustRightInd w:val="0"/>
      </w:pPr>
    </w:p>
    <w:p w:rsidR="00264B9F" w:rsidRPr="000827B0" w:rsidRDefault="00264B9F" w:rsidP="00264B9F">
      <w:pPr>
        <w:pStyle w:val="Heading1"/>
        <w:spacing w:line="276" w:lineRule="auto"/>
        <w:rPr>
          <w:sz w:val="44"/>
        </w:rPr>
      </w:pPr>
      <w:bookmarkStart w:id="7" w:name="_Toc478110168"/>
      <w:r>
        <w:rPr>
          <w:rFonts w:asciiTheme="minorHAnsi" w:hAnsiTheme="minorHAnsi" w:cstheme="minorHAnsi"/>
          <w:color w:val="auto"/>
          <w:lang w:val="en"/>
        </w:rPr>
        <w:lastRenderedPageBreak/>
        <w:t xml:space="preserve">4.0 </w:t>
      </w:r>
      <w:r w:rsidRPr="00264B9F">
        <w:rPr>
          <w:rFonts w:asciiTheme="minorHAnsi" w:hAnsiTheme="minorHAnsi" w:cstheme="minorHAnsi"/>
          <w:color w:val="auto"/>
          <w:lang w:val="en"/>
        </w:rPr>
        <w:t>Sup</w:t>
      </w:r>
      <w:r>
        <w:rPr>
          <w:rFonts w:asciiTheme="minorHAnsi" w:hAnsiTheme="minorHAnsi" w:cstheme="minorHAnsi"/>
          <w:color w:val="auto"/>
          <w:lang w:val="en"/>
        </w:rPr>
        <w:t xml:space="preserve">porting </w:t>
      </w:r>
      <w:proofErr w:type="spellStart"/>
      <w:r>
        <w:rPr>
          <w:rFonts w:asciiTheme="minorHAnsi" w:hAnsiTheme="minorHAnsi" w:cstheme="minorHAnsi"/>
          <w:color w:val="auto"/>
          <w:lang w:val="en"/>
        </w:rPr>
        <w:t>Organisations</w:t>
      </w:r>
      <w:proofErr w:type="spellEnd"/>
      <w:r>
        <w:rPr>
          <w:rFonts w:asciiTheme="minorHAnsi" w:hAnsiTheme="minorHAnsi" w:cstheme="minorHAnsi"/>
          <w:color w:val="auto"/>
          <w:lang w:val="en"/>
        </w:rPr>
        <w:t xml:space="preserve"> and D</w:t>
      </w:r>
      <w:r w:rsidRPr="00264B9F">
        <w:rPr>
          <w:rFonts w:asciiTheme="minorHAnsi" w:hAnsiTheme="minorHAnsi" w:cstheme="minorHAnsi"/>
          <w:color w:val="auto"/>
          <w:lang w:val="en"/>
        </w:rPr>
        <w:t>ocumentation</w:t>
      </w:r>
      <w:bookmarkEnd w:id="7"/>
    </w:p>
    <w:p w:rsidR="00264B9F" w:rsidRDefault="00264B9F" w:rsidP="002406F0">
      <w:pPr>
        <w:pStyle w:val="Heading2"/>
        <w:rPr>
          <w:rFonts w:asciiTheme="minorHAnsi" w:hAnsiTheme="minorHAnsi"/>
          <w:color w:val="auto"/>
          <w:sz w:val="22"/>
          <w:szCs w:val="22"/>
        </w:rPr>
      </w:pPr>
      <w:bookmarkStart w:id="8" w:name="_Toc472584630"/>
      <w:bookmarkStart w:id="9" w:name="_Toc478110169"/>
      <w:r w:rsidRPr="002406F0">
        <w:rPr>
          <w:rFonts w:asciiTheme="minorHAnsi" w:hAnsiTheme="minorHAnsi"/>
          <w:color w:val="auto"/>
          <w:sz w:val="22"/>
          <w:szCs w:val="22"/>
        </w:rPr>
        <w:t>4.1 Equality and Human Rights Commission</w:t>
      </w:r>
      <w:bookmarkEnd w:id="8"/>
      <w:bookmarkEnd w:id="9"/>
    </w:p>
    <w:p w:rsidR="002406F0" w:rsidRPr="002406F0" w:rsidRDefault="002406F0" w:rsidP="002406F0"/>
    <w:p w:rsidR="00264B9F" w:rsidRDefault="00264B9F" w:rsidP="002406F0">
      <w:pPr>
        <w:pStyle w:val="NoSpacing"/>
      </w:pPr>
      <w:r w:rsidRPr="002406F0">
        <w:t>The Equality and Human Rights Commission is the independent advocate for equality and human rights in Britain. It aims to reduce inequality, eliminate discrimination, strengthen good relations between people, and promote and protect human rights. It provides guidance for employers and education providers.</w:t>
      </w:r>
    </w:p>
    <w:p w:rsidR="00797A76" w:rsidRPr="002406F0" w:rsidRDefault="00797A76" w:rsidP="002406F0">
      <w:pPr>
        <w:pStyle w:val="NoSpacing"/>
      </w:pPr>
    </w:p>
    <w:p w:rsidR="002406F0" w:rsidRDefault="00D546C3" w:rsidP="00797A76">
      <w:pPr>
        <w:pStyle w:val="NoSpacing"/>
      </w:pPr>
      <w:hyperlink r:id="rId12" w:history="1">
        <w:r w:rsidR="002406F0" w:rsidRPr="00C53AA0">
          <w:rPr>
            <w:rStyle w:val="Hyperlink"/>
            <w:rFonts w:cs="Arial"/>
          </w:rPr>
          <w:t>https://www.equalityhumanrights.com/en/advice-and-guidance</w:t>
        </w:r>
      </w:hyperlink>
    </w:p>
    <w:p w:rsidR="00797A76" w:rsidRDefault="00797A76" w:rsidP="00797A76">
      <w:pPr>
        <w:pStyle w:val="NoSpacing"/>
      </w:pPr>
    </w:p>
    <w:p w:rsidR="00264B9F" w:rsidRDefault="00D546C3" w:rsidP="00797A76">
      <w:pPr>
        <w:pStyle w:val="NoSpacing"/>
        <w:rPr>
          <w:rStyle w:val="Hyperlink"/>
        </w:rPr>
      </w:pPr>
      <w:hyperlink r:id="rId13" w:history="1">
        <w:r w:rsidR="00264B9F" w:rsidRPr="005F2107">
          <w:rPr>
            <w:rStyle w:val="Hyperlink"/>
          </w:rPr>
          <w:t>https://www.equalityhumanrights.com/en/publication-download/good-equality-practice-employers-equality-policies-equality-training-and</w:t>
        </w:r>
      </w:hyperlink>
    </w:p>
    <w:p w:rsidR="00264B9F" w:rsidRDefault="002406F0" w:rsidP="002406F0">
      <w:pPr>
        <w:pStyle w:val="Heading2"/>
        <w:rPr>
          <w:rFonts w:asciiTheme="minorHAnsi" w:hAnsiTheme="minorHAnsi"/>
          <w:color w:val="auto"/>
          <w:sz w:val="22"/>
          <w:szCs w:val="22"/>
        </w:rPr>
      </w:pPr>
      <w:bookmarkStart w:id="10" w:name="_Toc478110170"/>
      <w:r>
        <w:rPr>
          <w:rFonts w:asciiTheme="minorHAnsi" w:hAnsiTheme="minorHAnsi"/>
          <w:color w:val="auto"/>
          <w:sz w:val="22"/>
          <w:szCs w:val="22"/>
        </w:rPr>
        <w:t xml:space="preserve">4.2 </w:t>
      </w:r>
      <w:r w:rsidR="00264B9F" w:rsidRPr="002406F0">
        <w:rPr>
          <w:rFonts w:asciiTheme="minorHAnsi" w:hAnsiTheme="minorHAnsi"/>
          <w:color w:val="auto"/>
          <w:sz w:val="22"/>
          <w:szCs w:val="22"/>
        </w:rPr>
        <w:t>Department for Education Non-statutory Advice</w:t>
      </w:r>
      <w:bookmarkEnd w:id="10"/>
    </w:p>
    <w:p w:rsidR="002406F0" w:rsidRPr="002406F0" w:rsidRDefault="002406F0" w:rsidP="002406F0"/>
    <w:p w:rsidR="00264B9F" w:rsidRDefault="00264B9F" w:rsidP="00264B9F">
      <w:pPr>
        <w:rPr>
          <w:rFonts w:cs="Arial"/>
        </w:rPr>
      </w:pPr>
      <w:r>
        <w:rPr>
          <w:rFonts w:cs="Arial"/>
        </w:rPr>
        <w:t>Non-s</w:t>
      </w:r>
      <w:r w:rsidR="002406F0">
        <w:rPr>
          <w:rFonts w:cs="Arial"/>
        </w:rPr>
        <w:t>tatutory g</w:t>
      </w:r>
      <w:r>
        <w:rPr>
          <w:rFonts w:cs="Arial"/>
        </w:rPr>
        <w:t>uidance is available from the Department for Education relating to the Equality Act in the following publication:</w:t>
      </w:r>
    </w:p>
    <w:p w:rsidR="00264B9F" w:rsidRDefault="00264B9F" w:rsidP="00264B9F">
      <w:pPr>
        <w:rPr>
          <w:rFonts w:cs="Arial"/>
        </w:rPr>
      </w:pPr>
    </w:p>
    <w:p w:rsidR="00264B9F" w:rsidRDefault="00D546C3" w:rsidP="00264B9F">
      <w:pPr>
        <w:rPr>
          <w:rFonts w:cs="Arial"/>
        </w:rPr>
      </w:pPr>
      <w:hyperlink r:id="rId14" w:history="1">
        <w:r w:rsidR="00264B9F">
          <w:rPr>
            <w:rStyle w:val="Hyperlink"/>
            <w:rFonts w:cs="Arial"/>
          </w:rPr>
          <w:t>https://www.gov.uk/government/uploads/system/uploads/attachment_data/file/315587/Equality_Act_Advice_Final.pdf</w:t>
        </w:r>
      </w:hyperlink>
    </w:p>
    <w:p w:rsidR="00264B9F" w:rsidRPr="002B117E" w:rsidRDefault="00264B9F" w:rsidP="00264B9F">
      <w:pPr>
        <w:pStyle w:val="NoSpacing"/>
      </w:pPr>
    </w:p>
    <w:p w:rsidR="00264B9F" w:rsidRDefault="002406F0" w:rsidP="00797A76">
      <w:pPr>
        <w:pStyle w:val="Heading2"/>
        <w:rPr>
          <w:rFonts w:asciiTheme="minorHAnsi" w:hAnsiTheme="minorHAnsi"/>
          <w:color w:val="auto"/>
          <w:sz w:val="22"/>
          <w:szCs w:val="22"/>
        </w:rPr>
      </w:pPr>
      <w:r w:rsidRPr="00797A76">
        <w:rPr>
          <w:rFonts w:asciiTheme="minorHAnsi" w:hAnsiTheme="minorHAnsi"/>
          <w:color w:val="auto"/>
          <w:sz w:val="22"/>
          <w:szCs w:val="22"/>
        </w:rPr>
        <w:t>4.3 Other O</w:t>
      </w:r>
      <w:r w:rsidR="00264B9F" w:rsidRPr="00797A76">
        <w:rPr>
          <w:rFonts w:asciiTheme="minorHAnsi" w:hAnsiTheme="minorHAnsi"/>
          <w:color w:val="auto"/>
          <w:sz w:val="22"/>
          <w:szCs w:val="22"/>
        </w:rPr>
        <w:t>rganisations</w:t>
      </w:r>
      <w:r w:rsidRPr="00797A76">
        <w:rPr>
          <w:rFonts w:asciiTheme="minorHAnsi" w:hAnsiTheme="minorHAnsi"/>
          <w:color w:val="auto"/>
          <w:sz w:val="22"/>
          <w:szCs w:val="22"/>
        </w:rPr>
        <w:t xml:space="preserve"> Offering Support and Information</w:t>
      </w:r>
    </w:p>
    <w:p w:rsidR="00797A76" w:rsidRPr="00797A76" w:rsidRDefault="00797A76" w:rsidP="00797A76"/>
    <w:p w:rsidR="00264B9F" w:rsidRDefault="00264B9F" w:rsidP="00797A76">
      <w:pPr>
        <w:pStyle w:val="NoSpacing"/>
        <w:rPr>
          <w:rStyle w:val="Hyperlink"/>
        </w:rPr>
      </w:pPr>
      <w:r w:rsidRPr="002406F0">
        <w:t>ACAS provides information, advice, training, conciliation and other services for employers and employees to help prevent or resolve workplace problems, include detailed guidance on</w:t>
      </w:r>
      <w:r w:rsidR="00797A76">
        <w:t xml:space="preserve"> Equality and Diversity at Work </w:t>
      </w:r>
      <w:hyperlink r:id="rId15" w:history="1">
        <w:r w:rsidRPr="00E2501E">
          <w:rPr>
            <w:rStyle w:val="Hyperlink"/>
          </w:rPr>
          <w:t>http://www.acas.org.uk/index.aspx?articleid=1363</w:t>
        </w:r>
      </w:hyperlink>
    </w:p>
    <w:p w:rsidR="00797A76" w:rsidRDefault="00797A76" w:rsidP="00797A76">
      <w:pPr>
        <w:pStyle w:val="NoSpacing"/>
      </w:pPr>
    </w:p>
    <w:p w:rsidR="00797A76" w:rsidRPr="002406F0" w:rsidRDefault="00264B9F" w:rsidP="00264B9F">
      <w:pPr>
        <w:tabs>
          <w:tab w:val="left" w:pos="720"/>
          <w:tab w:val="center" w:pos="4153"/>
          <w:tab w:val="right" w:pos="8306"/>
        </w:tabs>
        <w:spacing w:after="240" w:line="360" w:lineRule="exact"/>
        <w:rPr>
          <w:rFonts w:cs="Arial"/>
          <w:color w:val="0000FF" w:themeColor="hyperlink"/>
          <w:u w:val="single"/>
        </w:rPr>
      </w:pPr>
      <w:r w:rsidRPr="002406F0">
        <w:rPr>
          <w:rFonts w:cs="Arial"/>
        </w:rPr>
        <w:t xml:space="preserve">Age - </w:t>
      </w:r>
      <w:hyperlink r:id="rId16" w:history="1">
        <w:r w:rsidRPr="002406F0">
          <w:rPr>
            <w:rStyle w:val="Hyperlink"/>
            <w:rFonts w:cs="Arial"/>
          </w:rPr>
          <w:t>http://www.ageuk.org.uk/</w:t>
        </w:r>
      </w:hyperlink>
      <w:r w:rsidRPr="002406F0">
        <w:rPr>
          <w:rStyle w:val="Hyperlink"/>
          <w:rFonts w:cs="Arial"/>
        </w:rPr>
        <w:br/>
      </w:r>
      <w:r w:rsidR="002406F0">
        <w:rPr>
          <w:rFonts w:cs="Arial"/>
        </w:rPr>
        <w:t xml:space="preserve">Gender </w:t>
      </w:r>
      <w:r w:rsidRPr="002406F0">
        <w:rPr>
          <w:rFonts w:cs="Arial"/>
        </w:rPr>
        <w:t xml:space="preserve">- </w:t>
      </w:r>
      <w:hyperlink r:id="rId17" w:history="1">
        <w:r w:rsidRPr="002406F0">
          <w:rPr>
            <w:rStyle w:val="Hyperlink"/>
            <w:rFonts w:cs="Arial"/>
          </w:rPr>
          <w:t>http://www.fawcettsociety.org.uk/</w:t>
        </w:r>
      </w:hyperlink>
      <w:r w:rsidRPr="002406F0">
        <w:rPr>
          <w:rStyle w:val="Hyperlink"/>
          <w:rFonts w:cs="Arial"/>
        </w:rPr>
        <w:br/>
      </w:r>
      <w:r w:rsidRPr="002406F0">
        <w:rPr>
          <w:rFonts w:cs="Arial"/>
        </w:rPr>
        <w:t xml:space="preserve">Sexual orientation and gender identity - </w:t>
      </w:r>
      <w:hyperlink r:id="rId18" w:history="1">
        <w:r w:rsidRPr="002406F0">
          <w:rPr>
            <w:rStyle w:val="Hyperlink"/>
            <w:rFonts w:cs="Arial"/>
          </w:rPr>
          <w:t>http://www.stonewall.org.uk</w:t>
        </w:r>
      </w:hyperlink>
    </w:p>
    <w:p w:rsidR="00264B9F" w:rsidRPr="002406F0" w:rsidRDefault="002406F0" w:rsidP="002406F0">
      <w:pPr>
        <w:pStyle w:val="Heading2"/>
        <w:rPr>
          <w:rFonts w:asciiTheme="minorHAnsi" w:hAnsiTheme="minorHAnsi"/>
          <w:color w:val="auto"/>
          <w:sz w:val="22"/>
          <w:szCs w:val="22"/>
        </w:rPr>
      </w:pPr>
      <w:bookmarkStart w:id="11" w:name="_Toc478110171"/>
      <w:r w:rsidRPr="002406F0">
        <w:rPr>
          <w:rFonts w:asciiTheme="minorHAnsi" w:hAnsiTheme="minorHAnsi"/>
          <w:color w:val="auto"/>
          <w:sz w:val="22"/>
          <w:szCs w:val="22"/>
        </w:rPr>
        <w:t xml:space="preserve">4.4 </w:t>
      </w:r>
      <w:r w:rsidR="00264B9F" w:rsidRPr="002406F0">
        <w:rPr>
          <w:rFonts w:asciiTheme="minorHAnsi" w:hAnsiTheme="minorHAnsi"/>
          <w:color w:val="auto"/>
          <w:sz w:val="22"/>
          <w:szCs w:val="22"/>
        </w:rPr>
        <w:t>Disability</w:t>
      </w:r>
      <w:bookmarkEnd w:id="11"/>
    </w:p>
    <w:p w:rsidR="002406F0" w:rsidRDefault="002406F0" w:rsidP="00264B9F">
      <w:pPr>
        <w:shd w:val="clear" w:color="auto" w:fill="FFFFFF"/>
        <w:rPr>
          <w:rFonts w:cs="Arial"/>
          <w:color w:val="000000"/>
          <w:lang w:val="en-US"/>
        </w:rPr>
      </w:pPr>
    </w:p>
    <w:p w:rsidR="00264B9F" w:rsidRPr="008C61E1" w:rsidRDefault="00264B9F" w:rsidP="00264B9F">
      <w:pPr>
        <w:shd w:val="clear" w:color="auto" w:fill="FFFFFF"/>
        <w:rPr>
          <w:rFonts w:cs="Arial"/>
          <w:color w:val="000000"/>
          <w:lang w:val="en-US"/>
        </w:rPr>
      </w:pPr>
      <w:r w:rsidRPr="008C61E1">
        <w:rPr>
          <w:rFonts w:cs="Arial"/>
          <w:color w:val="000000"/>
          <w:lang w:val="en-US"/>
        </w:rPr>
        <w:t xml:space="preserve">For more information on disability </w:t>
      </w:r>
      <w:r w:rsidR="00797A76">
        <w:rPr>
          <w:rFonts w:cs="Arial"/>
          <w:color w:val="000000"/>
          <w:lang w:val="en-US"/>
        </w:rPr>
        <w:t>consult</w:t>
      </w:r>
      <w:r w:rsidRPr="008C61E1">
        <w:rPr>
          <w:rFonts w:cs="Arial"/>
          <w:color w:val="000000"/>
          <w:lang w:val="en-US"/>
        </w:rPr>
        <w:t xml:space="preserve"> the following websites:</w:t>
      </w:r>
    </w:p>
    <w:p w:rsidR="002406F0" w:rsidRDefault="002406F0" w:rsidP="002406F0">
      <w:pPr>
        <w:pStyle w:val="NoSpacing"/>
      </w:pPr>
    </w:p>
    <w:p w:rsidR="00264B9F" w:rsidRDefault="00D546C3" w:rsidP="002406F0">
      <w:pPr>
        <w:pStyle w:val="NoSpacing"/>
        <w:numPr>
          <w:ilvl w:val="0"/>
          <w:numId w:val="12"/>
        </w:numPr>
        <w:rPr>
          <w:rFonts w:cs="Arial"/>
          <w:lang w:val="en-US"/>
        </w:rPr>
      </w:pPr>
      <w:hyperlink r:id="rId19" w:tgtFrame="_blank" w:tooltip="Opens in a new window" w:history="1">
        <w:r w:rsidR="00264B9F" w:rsidRPr="008B360B">
          <w:rPr>
            <w:rFonts w:cs="Arial"/>
            <w:lang w:val="en-US"/>
          </w:rPr>
          <w:t xml:space="preserve">Essex Coalition for Disabled People </w:t>
        </w:r>
      </w:hyperlink>
      <w:r w:rsidR="00264B9F">
        <w:rPr>
          <w:rFonts w:cs="Arial"/>
          <w:lang w:val="en-US"/>
        </w:rPr>
        <w:t xml:space="preserve">  </w:t>
      </w:r>
      <w:hyperlink r:id="rId20" w:history="1">
        <w:r w:rsidR="00264B9F" w:rsidRPr="006A49A9">
          <w:rPr>
            <w:rStyle w:val="Hyperlink"/>
            <w:rFonts w:cs="Arial"/>
            <w:lang w:val="en-US"/>
          </w:rPr>
          <w:t>www.ecdp.org.uk</w:t>
        </w:r>
      </w:hyperlink>
    </w:p>
    <w:p w:rsidR="00264B9F" w:rsidRPr="008B360B" w:rsidRDefault="00D546C3" w:rsidP="002406F0">
      <w:pPr>
        <w:pStyle w:val="NoSpacing"/>
        <w:numPr>
          <w:ilvl w:val="0"/>
          <w:numId w:val="12"/>
        </w:numPr>
        <w:rPr>
          <w:rFonts w:cs="Arial"/>
          <w:lang w:val="en-US"/>
        </w:rPr>
      </w:pPr>
      <w:hyperlink r:id="rId21" w:tgtFrame="_blank" w:tooltip="Opens in a new window" w:history="1">
        <w:r w:rsidR="00264B9F" w:rsidRPr="008B360B">
          <w:rPr>
            <w:rFonts w:cs="Arial"/>
            <w:lang w:val="en-US"/>
          </w:rPr>
          <w:t>ECL Sensory Team</w:t>
        </w:r>
      </w:hyperlink>
      <w:r w:rsidR="00264B9F">
        <w:rPr>
          <w:rFonts w:cs="Arial"/>
          <w:lang w:val="en-US"/>
        </w:rPr>
        <w:t xml:space="preserve">  </w:t>
      </w:r>
      <w:hyperlink r:id="rId22" w:history="1">
        <w:r w:rsidR="00264B9F" w:rsidRPr="006A49A9">
          <w:rPr>
            <w:rStyle w:val="Hyperlink"/>
            <w:rFonts w:cs="Arial"/>
            <w:lang w:val="en-US"/>
          </w:rPr>
          <w:t>www.eclsensoryservice.org</w:t>
        </w:r>
      </w:hyperlink>
      <w:r w:rsidR="00264B9F">
        <w:rPr>
          <w:rFonts w:cs="Arial"/>
          <w:lang w:val="en-US"/>
        </w:rPr>
        <w:t xml:space="preserve"> </w:t>
      </w:r>
    </w:p>
    <w:p w:rsidR="00264B9F" w:rsidRPr="008B360B" w:rsidRDefault="00D546C3" w:rsidP="002406F0">
      <w:pPr>
        <w:pStyle w:val="NoSpacing"/>
        <w:numPr>
          <w:ilvl w:val="0"/>
          <w:numId w:val="12"/>
        </w:numPr>
        <w:rPr>
          <w:rFonts w:cs="Arial"/>
          <w:lang w:val="en-US"/>
        </w:rPr>
      </w:pPr>
      <w:hyperlink r:id="rId23" w:tgtFrame="_blank" w:tooltip="Opens in anew window" w:history="1">
        <w:r w:rsidR="00264B9F" w:rsidRPr="008B360B">
          <w:rPr>
            <w:rFonts w:cs="Arial"/>
            <w:lang w:val="en-US"/>
          </w:rPr>
          <w:t>Essex Sight</w:t>
        </w:r>
      </w:hyperlink>
      <w:r w:rsidR="00264B9F">
        <w:rPr>
          <w:rFonts w:cs="Arial"/>
          <w:lang w:val="en-US"/>
        </w:rPr>
        <w:t xml:space="preserve">  </w:t>
      </w:r>
      <w:hyperlink r:id="rId24" w:history="1">
        <w:r w:rsidR="00264B9F" w:rsidRPr="006A49A9">
          <w:rPr>
            <w:rStyle w:val="Hyperlink"/>
            <w:rFonts w:cs="Arial"/>
            <w:lang w:val="en-US"/>
          </w:rPr>
          <w:t>www.esexsight.org.uk</w:t>
        </w:r>
      </w:hyperlink>
      <w:r w:rsidR="00264B9F">
        <w:rPr>
          <w:rFonts w:cs="Arial"/>
          <w:lang w:val="en-US"/>
        </w:rPr>
        <w:t xml:space="preserve"> </w:t>
      </w:r>
    </w:p>
    <w:p w:rsidR="00264B9F" w:rsidRPr="008B360B" w:rsidRDefault="00D546C3" w:rsidP="002406F0">
      <w:pPr>
        <w:pStyle w:val="NoSpacing"/>
        <w:numPr>
          <w:ilvl w:val="0"/>
          <w:numId w:val="12"/>
        </w:numPr>
        <w:rPr>
          <w:rFonts w:cs="Arial"/>
          <w:lang w:val="en-US"/>
        </w:rPr>
      </w:pPr>
      <w:hyperlink r:id="rId25" w:tgtFrame="_blank" w:tooltip="Opens in a new window" w:history="1">
        <w:r w:rsidR="00264B9F" w:rsidRPr="008B360B">
          <w:rPr>
            <w:rFonts w:cs="Arial"/>
            <w:lang w:val="en-US"/>
          </w:rPr>
          <w:t>Support4sight</w:t>
        </w:r>
      </w:hyperlink>
      <w:r w:rsidR="00264B9F">
        <w:rPr>
          <w:rFonts w:cs="Arial"/>
          <w:lang w:val="en-US"/>
        </w:rPr>
        <w:t xml:space="preserve"> </w:t>
      </w:r>
      <w:hyperlink r:id="rId26" w:history="1">
        <w:r w:rsidR="00264B9F" w:rsidRPr="006A49A9">
          <w:rPr>
            <w:rStyle w:val="Hyperlink"/>
            <w:rFonts w:cs="Arial"/>
            <w:lang w:val="en-US"/>
          </w:rPr>
          <w:t>www.support4sight.org.uk</w:t>
        </w:r>
      </w:hyperlink>
      <w:r w:rsidR="00264B9F">
        <w:rPr>
          <w:rFonts w:cs="Arial"/>
          <w:lang w:val="en-US"/>
        </w:rPr>
        <w:t xml:space="preserve"> </w:t>
      </w:r>
    </w:p>
    <w:p w:rsidR="00264B9F" w:rsidRDefault="00D546C3" w:rsidP="002406F0">
      <w:pPr>
        <w:pStyle w:val="NoSpacing"/>
        <w:numPr>
          <w:ilvl w:val="0"/>
          <w:numId w:val="12"/>
        </w:numPr>
        <w:rPr>
          <w:rFonts w:cs="Arial"/>
          <w:lang w:val="en-US"/>
        </w:rPr>
      </w:pPr>
      <w:hyperlink r:id="rId27" w:tgtFrame="_blank" w:tooltip="Opens in a new window" w:history="1">
        <w:r w:rsidR="00264B9F" w:rsidRPr="008B360B">
          <w:rPr>
            <w:rFonts w:cs="Arial"/>
            <w:lang w:val="en-US"/>
          </w:rPr>
          <w:t>Deafblind UK</w:t>
        </w:r>
      </w:hyperlink>
      <w:r w:rsidR="00264B9F">
        <w:rPr>
          <w:rFonts w:cs="Arial"/>
          <w:lang w:val="en-US"/>
        </w:rPr>
        <w:t xml:space="preserve">   </w:t>
      </w:r>
      <w:hyperlink r:id="rId28" w:history="1">
        <w:r w:rsidR="00264B9F" w:rsidRPr="006A49A9">
          <w:rPr>
            <w:rStyle w:val="Hyperlink"/>
            <w:rFonts w:cs="Arial"/>
            <w:lang w:val="en-US"/>
          </w:rPr>
          <w:t>www.deafblind.org.uk</w:t>
        </w:r>
      </w:hyperlink>
    </w:p>
    <w:p w:rsidR="00264B9F" w:rsidRPr="008B360B" w:rsidRDefault="00D546C3" w:rsidP="002406F0">
      <w:pPr>
        <w:pStyle w:val="NoSpacing"/>
        <w:numPr>
          <w:ilvl w:val="0"/>
          <w:numId w:val="12"/>
        </w:numPr>
        <w:rPr>
          <w:rFonts w:cs="Arial"/>
          <w:lang w:val="en-US"/>
        </w:rPr>
      </w:pPr>
      <w:hyperlink r:id="rId29" w:tgtFrame="_blank" w:tooltip="Opens in a new window" w:history="1">
        <w:r w:rsidR="00264B9F" w:rsidRPr="008B360B">
          <w:rPr>
            <w:rFonts w:cs="Arial"/>
            <w:lang w:val="en-US"/>
          </w:rPr>
          <w:t>Hearing Help Essex</w:t>
        </w:r>
      </w:hyperlink>
      <w:r w:rsidR="00264B9F">
        <w:rPr>
          <w:rFonts w:cs="Arial"/>
          <w:lang w:val="en-US"/>
        </w:rPr>
        <w:t xml:space="preserve">  </w:t>
      </w:r>
      <w:hyperlink r:id="rId30" w:history="1">
        <w:r w:rsidR="00264B9F" w:rsidRPr="006A49A9">
          <w:rPr>
            <w:rStyle w:val="Hyperlink"/>
            <w:rFonts w:cs="Arial"/>
            <w:lang w:val="en-US"/>
          </w:rPr>
          <w:t>www.hearinghelpessex.org.uk</w:t>
        </w:r>
      </w:hyperlink>
      <w:r w:rsidR="00264B9F">
        <w:rPr>
          <w:rFonts w:cs="Arial"/>
          <w:lang w:val="en-US"/>
        </w:rPr>
        <w:t xml:space="preserve"> </w:t>
      </w:r>
    </w:p>
    <w:p w:rsidR="00264B9F" w:rsidRPr="008B360B" w:rsidRDefault="00D546C3" w:rsidP="002406F0">
      <w:pPr>
        <w:pStyle w:val="NoSpacing"/>
        <w:numPr>
          <w:ilvl w:val="0"/>
          <w:numId w:val="12"/>
        </w:numPr>
        <w:rPr>
          <w:rFonts w:cs="Arial"/>
          <w:lang w:val="en-US"/>
        </w:rPr>
      </w:pPr>
      <w:hyperlink r:id="rId31" w:tgtFrame="_blank" w:tooltip="Opens in a new window" w:history="1">
        <w:r w:rsidR="00264B9F" w:rsidRPr="008B360B">
          <w:rPr>
            <w:rFonts w:cs="Arial"/>
            <w:lang w:val="en-US"/>
          </w:rPr>
          <w:t>Disability Rights UK</w:t>
        </w:r>
      </w:hyperlink>
      <w:r w:rsidR="00264B9F">
        <w:rPr>
          <w:rFonts w:cs="Arial"/>
          <w:lang w:val="en-US"/>
        </w:rPr>
        <w:t xml:space="preserve">  </w:t>
      </w:r>
      <w:hyperlink r:id="rId32" w:history="1">
        <w:r w:rsidR="00264B9F" w:rsidRPr="006A49A9">
          <w:rPr>
            <w:rStyle w:val="Hyperlink"/>
            <w:rFonts w:cs="Arial"/>
            <w:lang w:val="en-US"/>
          </w:rPr>
          <w:t>www.disabilityrightsuk.uk</w:t>
        </w:r>
      </w:hyperlink>
      <w:r w:rsidR="00264B9F">
        <w:rPr>
          <w:rFonts w:cs="Arial"/>
          <w:lang w:val="en-US"/>
        </w:rPr>
        <w:t xml:space="preserve"> </w:t>
      </w:r>
    </w:p>
    <w:p w:rsidR="00264B9F" w:rsidRPr="008B360B" w:rsidRDefault="00D546C3" w:rsidP="002406F0">
      <w:pPr>
        <w:pStyle w:val="NoSpacing"/>
        <w:numPr>
          <w:ilvl w:val="0"/>
          <w:numId w:val="12"/>
        </w:numPr>
        <w:rPr>
          <w:rFonts w:cs="Arial"/>
          <w:lang w:val="en-US"/>
        </w:rPr>
      </w:pPr>
      <w:hyperlink r:id="rId33" w:tgtFrame="_blank" w:tooltip="Opens in a new window" w:history="1">
        <w:r w:rsidR="00264B9F" w:rsidRPr="008B360B">
          <w:rPr>
            <w:rFonts w:cs="Arial"/>
            <w:lang w:val="en-US"/>
          </w:rPr>
          <w:t>Scope</w:t>
        </w:r>
      </w:hyperlink>
      <w:r w:rsidR="00264B9F">
        <w:rPr>
          <w:rFonts w:cs="Arial"/>
          <w:lang w:val="en-US"/>
        </w:rPr>
        <w:t xml:space="preserve">  </w:t>
      </w:r>
      <w:hyperlink r:id="rId34" w:history="1">
        <w:r w:rsidR="00264B9F" w:rsidRPr="00026F01">
          <w:rPr>
            <w:rStyle w:val="Hyperlink"/>
            <w:rFonts w:cs="Arial"/>
            <w:lang w:val="en-US"/>
          </w:rPr>
          <w:t>www.scope.org.uk</w:t>
        </w:r>
      </w:hyperlink>
      <w:r w:rsidR="00264B9F">
        <w:rPr>
          <w:rFonts w:cs="Arial"/>
          <w:lang w:val="en-US"/>
        </w:rPr>
        <w:t xml:space="preserve"> </w:t>
      </w:r>
    </w:p>
    <w:p w:rsidR="00264B9F" w:rsidRDefault="00D546C3" w:rsidP="002406F0">
      <w:pPr>
        <w:pStyle w:val="NoSpacing"/>
        <w:numPr>
          <w:ilvl w:val="0"/>
          <w:numId w:val="12"/>
        </w:numPr>
        <w:rPr>
          <w:rFonts w:cs="Arial"/>
          <w:lang w:val="en-US"/>
        </w:rPr>
      </w:pPr>
      <w:hyperlink r:id="rId35" w:tgtFrame="_blank" w:tooltip="Opens in a new window" w:history="1">
        <w:r w:rsidR="00264B9F" w:rsidRPr="008B360B">
          <w:rPr>
            <w:rFonts w:cs="Arial"/>
            <w:lang w:val="en-US"/>
          </w:rPr>
          <w:t>MIND</w:t>
        </w:r>
      </w:hyperlink>
      <w:r w:rsidR="00264B9F">
        <w:rPr>
          <w:rFonts w:cs="Arial"/>
          <w:lang w:val="en-US"/>
        </w:rPr>
        <w:t xml:space="preserve">  </w:t>
      </w:r>
      <w:hyperlink r:id="rId36" w:history="1">
        <w:r w:rsidR="00264B9F" w:rsidRPr="006A49A9">
          <w:rPr>
            <w:rStyle w:val="Hyperlink"/>
            <w:rFonts w:cs="Arial"/>
            <w:lang w:val="en-US"/>
          </w:rPr>
          <w:t>www.mind.org.uk</w:t>
        </w:r>
      </w:hyperlink>
    </w:p>
    <w:p w:rsidR="00264B9F" w:rsidRPr="00DF0012" w:rsidRDefault="00264B9F" w:rsidP="002406F0">
      <w:pPr>
        <w:pStyle w:val="NoSpacing"/>
      </w:pPr>
    </w:p>
    <w:p w:rsidR="0078771B" w:rsidRDefault="0078771B" w:rsidP="008838E5">
      <w:pPr>
        <w:pStyle w:val="NoSpacing"/>
        <w:rPr>
          <w:snapToGrid w:val="0"/>
        </w:rPr>
      </w:pPr>
    </w:p>
    <w:p w:rsidR="002406F0" w:rsidRDefault="002406F0" w:rsidP="008838E5">
      <w:pPr>
        <w:pStyle w:val="NoSpacing"/>
        <w:rPr>
          <w:snapToGrid w:val="0"/>
        </w:rPr>
      </w:pPr>
    </w:p>
    <w:sectPr w:rsidR="002406F0" w:rsidSect="00AA667C">
      <w:footerReference w:type="default" r:id="rId37"/>
      <w:pgSz w:w="11906" w:h="16838"/>
      <w:pgMar w:top="1440" w:right="1440" w:bottom="1440" w:left="1440" w:header="706" w:footer="26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8F" w:rsidRDefault="006F73E9">
      <w:r>
        <w:separator/>
      </w:r>
    </w:p>
  </w:endnote>
  <w:endnote w:type="continuationSeparator" w:id="0">
    <w:p w:rsidR="00F12A8F" w:rsidRDefault="006F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128360"/>
      <w:docPartObj>
        <w:docPartGallery w:val="Page Numbers (Bottom of Page)"/>
        <w:docPartUnique/>
      </w:docPartObj>
    </w:sdtPr>
    <w:sdtEndPr>
      <w:rPr>
        <w:noProof/>
      </w:rPr>
    </w:sdtEndPr>
    <w:sdtContent>
      <w:p w:rsidR="002406F0" w:rsidRDefault="002406F0">
        <w:pPr>
          <w:pStyle w:val="Footer"/>
          <w:jc w:val="center"/>
        </w:pPr>
        <w:r>
          <w:fldChar w:fldCharType="begin"/>
        </w:r>
        <w:r>
          <w:instrText xml:space="preserve"> PAGE   \* MERGEFORMAT </w:instrText>
        </w:r>
        <w:r>
          <w:fldChar w:fldCharType="separate"/>
        </w:r>
        <w:r w:rsidR="00D546C3">
          <w:rPr>
            <w:noProof/>
          </w:rPr>
          <w:t>5</w:t>
        </w:r>
        <w:r>
          <w:rPr>
            <w:noProof/>
          </w:rPr>
          <w:fldChar w:fldCharType="end"/>
        </w:r>
      </w:p>
    </w:sdtContent>
  </w:sdt>
  <w:p w:rsidR="004407C4" w:rsidRDefault="00440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8F" w:rsidRDefault="006F73E9">
      <w:r>
        <w:separator/>
      </w:r>
    </w:p>
  </w:footnote>
  <w:footnote w:type="continuationSeparator" w:id="0">
    <w:p w:rsidR="00F12A8F" w:rsidRDefault="006F7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50A"/>
    <w:multiLevelType w:val="multilevel"/>
    <w:tmpl w:val="57AA7CAA"/>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A56BD"/>
    <w:multiLevelType w:val="multilevel"/>
    <w:tmpl w:val="DE38B8CA"/>
    <w:lvl w:ilvl="0">
      <w:start w:val="1"/>
      <w:numFmt w:val="bullet"/>
      <w:lvlText w:val=""/>
      <w:lvlJc w:val="left"/>
      <w:pPr>
        <w:tabs>
          <w:tab w:val="num" w:pos="720"/>
        </w:tabs>
        <w:ind w:left="0" w:firstLine="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C24DF"/>
    <w:multiLevelType w:val="hybridMultilevel"/>
    <w:tmpl w:val="7EEA62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039A5"/>
    <w:multiLevelType w:val="multilevel"/>
    <w:tmpl w:val="57AA7CAA"/>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32383"/>
    <w:multiLevelType w:val="multilevel"/>
    <w:tmpl w:val="57AA7CAA"/>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27C23"/>
    <w:multiLevelType w:val="hybridMultilevel"/>
    <w:tmpl w:val="BBA6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05726"/>
    <w:multiLevelType w:val="hybridMultilevel"/>
    <w:tmpl w:val="09124B80"/>
    <w:lvl w:ilvl="0" w:tplc="8892D92E">
      <w:start w:val="1"/>
      <w:numFmt w:val="bullet"/>
      <w:lvlText w:val=""/>
      <w:lvlJc w:val="left"/>
      <w:pPr>
        <w:ind w:left="340" w:hanging="34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C3ECA"/>
    <w:multiLevelType w:val="multilevel"/>
    <w:tmpl w:val="1758D66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FD46E69"/>
    <w:multiLevelType w:val="hybridMultilevel"/>
    <w:tmpl w:val="FF6A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F4DB2"/>
    <w:multiLevelType w:val="hybridMultilevel"/>
    <w:tmpl w:val="CA606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001CFA"/>
    <w:multiLevelType w:val="hybridMultilevel"/>
    <w:tmpl w:val="D960F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32327"/>
    <w:multiLevelType w:val="hybridMultilevel"/>
    <w:tmpl w:val="894A4472"/>
    <w:lvl w:ilvl="0" w:tplc="ECCAA31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B39A1"/>
    <w:multiLevelType w:val="multilevel"/>
    <w:tmpl w:val="57AA7CAA"/>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9441A"/>
    <w:multiLevelType w:val="hybridMultilevel"/>
    <w:tmpl w:val="9FEE0814"/>
    <w:lvl w:ilvl="0" w:tplc="360CEE5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2286C"/>
    <w:multiLevelType w:val="multilevel"/>
    <w:tmpl w:val="57AA7CAA"/>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91BD9"/>
    <w:multiLevelType w:val="multilevel"/>
    <w:tmpl w:val="EE84BD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7EF6184"/>
    <w:multiLevelType w:val="hybridMultilevel"/>
    <w:tmpl w:val="FB742482"/>
    <w:lvl w:ilvl="0" w:tplc="0B3C4426">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000891"/>
    <w:multiLevelType w:val="hybridMultilevel"/>
    <w:tmpl w:val="C0C2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7"/>
  </w:num>
  <w:num w:numId="5">
    <w:abstractNumId w:val="15"/>
  </w:num>
  <w:num w:numId="6">
    <w:abstractNumId w:val="9"/>
  </w:num>
  <w:num w:numId="7">
    <w:abstractNumId w:val="10"/>
  </w:num>
  <w:num w:numId="8">
    <w:abstractNumId w:val="2"/>
  </w:num>
  <w:num w:numId="9">
    <w:abstractNumId w:val="6"/>
  </w:num>
  <w:num w:numId="10">
    <w:abstractNumId w:val="13"/>
  </w:num>
  <w:num w:numId="11">
    <w:abstractNumId w:val="1"/>
  </w:num>
  <w:num w:numId="12">
    <w:abstractNumId w:val="14"/>
  </w:num>
  <w:num w:numId="13">
    <w:abstractNumId w:val="12"/>
  </w:num>
  <w:num w:numId="14">
    <w:abstractNumId w:val="4"/>
  </w:num>
  <w:num w:numId="15">
    <w:abstractNumId w:val="0"/>
  </w:num>
  <w:num w:numId="16">
    <w:abstractNumId w:val="3"/>
  </w:num>
  <w:num w:numId="17">
    <w:abstractNumId w:val="5"/>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059DA"/>
    <w:rsid w:val="00013203"/>
    <w:rsid w:val="000253B3"/>
    <w:rsid w:val="00030317"/>
    <w:rsid w:val="000313C5"/>
    <w:rsid w:val="00033AE9"/>
    <w:rsid w:val="000477F5"/>
    <w:rsid w:val="000852C6"/>
    <w:rsid w:val="001053E0"/>
    <w:rsid w:val="00107986"/>
    <w:rsid w:val="00114EE6"/>
    <w:rsid w:val="001405F5"/>
    <w:rsid w:val="001C4DFC"/>
    <w:rsid w:val="001D7A1D"/>
    <w:rsid w:val="001E4500"/>
    <w:rsid w:val="002406F0"/>
    <w:rsid w:val="00243979"/>
    <w:rsid w:val="00264B9F"/>
    <w:rsid w:val="002A5FFF"/>
    <w:rsid w:val="002B33D2"/>
    <w:rsid w:val="002C2A9F"/>
    <w:rsid w:val="00315B2C"/>
    <w:rsid w:val="00326B52"/>
    <w:rsid w:val="0033327B"/>
    <w:rsid w:val="00340685"/>
    <w:rsid w:val="00381BC3"/>
    <w:rsid w:val="00381F20"/>
    <w:rsid w:val="0038538D"/>
    <w:rsid w:val="003A0076"/>
    <w:rsid w:val="003A3C99"/>
    <w:rsid w:val="003C69EC"/>
    <w:rsid w:val="00432925"/>
    <w:rsid w:val="00434587"/>
    <w:rsid w:val="004407C4"/>
    <w:rsid w:val="004E5162"/>
    <w:rsid w:val="004E63A8"/>
    <w:rsid w:val="004F3C38"/>
    <w:rsid w:val="00523C7C"/>
    <w:rsid w:val="00532D67"/>
    <w:rsid w:val="00535D49"/>
    <w:rsid w:val="005632E1"/>
    <w:rsid w:val="00594DD4"/>
    <w:rsid w:val="005F0DD0"/>
    <w:rsid w:val="005F6E6E"/>
    <w:rsid w:val="0063552A"/>
    <w:rsid w:val="00695194"/>
    <w:rsid w:val="006C4D87"/>
    <w:rsid w:val="006F3148"/>
    <w:rsid w:val="006F73E9"/>
    <w:rsid w:val="007157A3"/>
    <w:rsid w:val="00716696"/>
    <w:rsid w:val="007771CD"/>
    <w:rsid w:val="00777607"/>
    <w:rsid w:val="0078771B"/>
    <w:rsid w:val="00797A76"/>
    <w:rsid w:val="007B2F56"/>
    <w:rsid w:val="00830FED"/>
    <w:rsid w:val="008657AE"/>
    <w:rsid w:val="008811B2"/>
    <w:rsid w:val="008838E5"/>
    <w:rsid w:val="008A4A83"/>
    <w:rsid w:val="008D11DA"/>
    <w:rsid w:val="008D1481"/>
    <w:rsid w:val="009008AA"/>
    <w:rsid w:val="0092361D"/>
    <w:rsid w:val="00952F74"/>
    <w:rsid w:val="009635A5"/>
    <w:rsid w:val="009D6B56"/>
    <w:rsid w:val="00A23808"/>
    <w:rsid w:val="00AA667C"/>
    <w:rsid w:val="00B22731"/>
    <w:rsid w:val="00BB307D"/>
    <w:rsid w:val="00C23754"/>
    <w:rsid w:val="00C75038"/>
    <w:rsid w:val="00C806A8"/>
    <w:rsid w:val="00CB7C26"/>
    <w:rsid w:val="00CC3D23"/>
    <w:rsid w:val="00CF4A94"/>
    <w:rsid w:val="00D16B74"/>
    <w:rsid w:val="00D546C3"/>
    <w:rsid w:val="00D92480"/>
    <w:rsid w:val="00DE1E5F"/>
    <w:rsid w:val="00DE6537"/>
    <w:rsid w:val="00DE7E76"/>
    <w:rsid w:val="00DF5953"/>
    <w:rsid w:val="00E02176"/>
    <w:rsid w:val="00E311BB"/>
    <w:rsid w:val="00E4309F"/>
    <w:rsid w:val="00E435C6"/>
    <w:rsid w:val="00E57EC4"/>
    <w:rsid w:val="00E6179A"/>
    <w:rsid w:val="00E85663"/>
    <w:rsid w:val="00E96988"/>
    <w:rsid w:val="00EA2216"/>
    <w:rsid w:val="00ED5519"/>
    <w:rsid w:val="00EE6B1D"/>
    <w:rsid w:val="00F07035"/>
    <w:rsid w:val="00F12A8F"/>
    <w:rsid w:val="00F277DD"/>
    <w:rsid w:val="00F301B7"/>
    <w:rsid w:val="00F30C44"/>
    <w:rsid w:val="00F514B3"/>
    <w:rsid w:val="00F54EFD"/>
    <w:rsid w:val="00F769C6"/>
    <w:rsid w:val="00FA1D1F"/>
    <w:rsid w:val="00FB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C5149BB-B9D6-4F04-B8B0-7B4DE67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link w:val="NoSpacingChar"/>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semiHidden/>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952F74"/>
    <w:pPr>
      <w:spacing w:after="120"/>
    </w:pPr>
  </w:style>
  <w:style w:type="character" w:customStyle="1" w:styleId="BodyTextChar">
    <w:name w:val="Body Text Char"/>
    <w:basedOn w:val="DefaultParagraphFont"/>
    <w:link w:val="BodyText"/>
    <w:uiPriority w:val="99"/>
    <w:rsid w:val="00952F74"/>
  </w:style>
  <w:style w:type="paragraph" w:styleId="BodyTextIndent2">
    <w:name w:val="Body Text Indent 2"/>
    <w:basedOn w:val="Normal"/>
    <w:link w:val="BodyTextIndent2Char"/>
    <w:uiPriority w:val="99"/>
    <w:semiHidden/>
    <w:unhideWhenUsed/>
    <w:rsid w:val="00952F74"/>
    <w:pPr>
      <w:spacing w:after="120" w:line="480" w:lineRule="auto"/>
      <w:ind w:left="283"/>
    </w:pPr>
  </w:style>
  <w:style w:type="character" w:customStyle="1" w:styleId="BodyTextIndent2Char">
    <w:name w:val="Body Text Indent 2 Char"/>
    <w:basedOn w:val="DefaultParagraphFont"/>
    <w:link w:val="BodyTextIndent2"/>
    <w:uiPriority w:val="99"/>
    <w:semiHidden/>
    <w:rsid w:val="00952F74"/>
  </w:style>
  <w:style w:type="character" w:customStyle="1" w:styleId="NoSpacingChar">
    <w:name w:val="No Spacing Char"/>
    <w:basedOn w:val="DefaultParagraphFont"/>
    <w:link w:val="NoSpacing"/>
    <w:uiPriority w:val="1"/>
    <w:rsid w:val="001D7A1D"/>
  </w:style>
  <w:style w:type="paragraph" w:styleId="BodyText2">
    <w:name w:val="Body Text 2"/>
    <w:basedOn w:val="Normal"/>
    <w:link w:val="BodyText2Char"/>
    <w:uiPriority w:val="99"/>
    <w:semiHidden/>
    <w:unhideWhenUsed/>
    <w:rsid w:val="00434587"/>
    <w:pPr>
      <w:spacing w:after="120" w:line="480" w:lineRule="auto"/>
    </w:pPr>
  </w:style>
  <w:style w:type="character" w:customStyle="1" w:styleId="BodyText2Char">
    <w:name w:val="Body Text 2 Char"/>
    <w:basedOn w:val="DefaultParagraphFont"/>
    <w:link w:val="BodyText2"/>
    <w:uiPriority w:val="99"/>
    <w:semiHidden/>
    <w:rsid w:val="00434587"/>
  </w:style>
  <w:style w:type="paragraph" w:customStyle="1" w:styleId="body1">
    <w:name w:val="body1"/>
    <w:basedOn w:val="Normal"/>
    <w:rsid w:val="008838E5"/>
    <w:pPr>
      <w:spacing w:before="100" w:beforeAutospacing="1" w:after="180"/>
    </w:pPr>
    <w:rPr>
      <w:rFonts w:ascii="Times New Roman" w:eastAsia="Times New Roman" w:hAnsi="Times New Roman" w:cs="Times New Roman"/>
      <w:sz w:val="21"/>
      <w:szCs w:val="21"/>
      <w:lang w:eastAsia="en-GB"/>
    </w:rPr>
  </w:style>
  <w:style w:type="character" w:styleId="PageNumber">
    <w:name w:val="page number"/>
    <w:basedOn w:val="DefaultParagraphFont"/>
    <w:rsid w:val="00E96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689989346">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329945423">
      <w:bodyDiv w:val="1"/>
      <w:marLeft w:val="0"/>
      <w:marRight w:val="0"/>
      <w:marTop w:val="0"/>
      <w:marBottom w:val="0"/>
      <w:divBdr>
        <w:top w:val="none" w:sz="0" w:space="0" w:color="auto"/>
        <w:left w:val="none" w:sz="0" w:space="0" w:color="auto"/>
        <w:bottom w:val="none" w:sz="0" w:space="0" w:color="auto"/>
        <w:right w:val="none" w:sz="0" w:space="0" w:color="auto"/>
      </w:divBdr>
      <w:divsChild>
        <w:div w:id="1886331785">
          <w:marLeft w:val="0"/>
          <w:marRight w:val="0"/>
          <w:marTop w:val="0"/>
          <w:marBottom w:val="0"/>
          <w:divBdr>
            <w:top w:val="none" w:sz="0" w:space="0" w:color="auto"/>
            <w:left w:val="none" w:sz="0" w:space="0" w:color="auto"/>
            <w:bottom w:val="none" w:sz="0" w:space="0" w:color="auto"/>
            <w:right w:val="none" w:sz="0" w:space="0" w:color="auto"/>
          </w:divBdr>
          <w:divsChild>
            <w:div w:id="891891828">
              <w:marLeft w:val="0"/>
              <w:marRight w:val="0"/>
              <w:marTop w:val="0"/>
              <w:marBottom w:val="0"/>
              <w:divBdr>
                <w:top w:val="none" w:sz="0" w:space="0" w:color="auto"/>
                <w:left w:val="none" w:sz="0" w:space="0" w:color="auto"/>
                <w:bottom w:val="none" w:sz="0" w:space="0" w:color="auto"/>
                <w:right w:val="none" w:sz="0" w:space="0" w:color="auto"/>
              </w:divBdr>
              <w:divsChild>
                <w:div w:id="1868986725">
                  <w:marLeft w:val="0"/>
                  <w:marRight w:val="0"/>
                  <w:marTop w:val="0"/>
                  <w:marBottom w:val="0"/>
                  <w:divBdr>
                    <w:top w:val="none" w:sz="0" w:space="0" w:color="auto"/>
                    <w:left w:val="none" w:sz="0" w:space="0" w:color="auto"/>
                    <w:bottom w:val="none" w:sz="0" w:space="0" w:color="auto"/>
                    <w:right w:val="none" w:sz="0" w:space="0" w:color="auto"/>
                  </w:divBdr>
                  <w:divsChild>
                    <w:div w:id="1658723700">
                      <w:marLeft w:val="0"/>
                      <w:marRight w:val="0"/>
                      <w:marTop w:val="210"/>
                      <w:marBottom w:val="0"/>
                      <w:divBdr>
                        <w:top w:val="none" w:sz="0" w:space="0" w:color="auto"/>
                        <w:left w:val="none" w:sz="0" w:space="0" w:color="auto"/>
                        <w:bottom w:val="none" w:sz="0" w:space="0" w:color="auto"/>
                        <w:right w:val="none" w:sz="0" w:space="0" w:color="auto"/>
                      </w:divBdr>
                      <w:divsChild>
                        <w:div w:id="1344626580">
                          <w:marLeft w:val="0"/>
                          <w:marRight w:val="0"/>
                          <w:marTop w:val="0"/>
                          <w:marBottom w:val="0"/>
                          <w:divBdr>
                            <w:top w:val="none" w:sz="0" w:space="0" w:color="auto"/>
                            <w:left w:val="none" w:sz="0" w:space="0" w:color="auto"/>
                            <w:bottom w:val="none" w:sz="0" w:space="0" w:color="auto"/>
                            <w:right w:val="none" w:sz="0" w:space="0" w:color="auto"/>
                          </w:divBdr>
                          <w:divsChild>
                            <w:div w:id="297689967">
                              <w:marLeft w:val="0"/>
                              <w:marRight w:val="0"/>
                              <w:marTop w:val="0"/>
                              <w:marBottom w:val="0"/>
                              <w:divBdr>
                                <w:top w:val="none" w:sz="0" w:space="0" w:color="auto"/>
                                <w:left w:val="none" w:sz="0" w:space="0" w:color="auto"/>
                                <w:bottom w:val="none" w:sz="0" w:space="0" w:color="auto"/>
                                <w:right w:val="none" w:sz="0" w:space="0" w:color="auto"/>
                              </w:divBdr>
                              <w:divsChild>
                                <w:div w:id="222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1833">
      <w:bodyDiv w:val="1"/>
      <w:marLeft w:val="0"/>
      <w:marRight w:val="0"/>
      <w:marTop w:val="0"/>
      <w:marBottom w:val="0"/>
      <w:divBdr>
        <w:top w:val="none" w:sz="0" w:space="0" w:color="auto"/>
        <w:left w:val="none" w:sz="0" w:space="0" w:color="auto"/>
        <w:bottom w:val="none" w:sz="0" w:space="0" w:color="auto"/>
        <w:right w:val="none" w:sz="0" w:space="0" w:color="auto"/>
      </w:divBdr>
      <w:divsChild>
        <w:div w:id="504325510">
          <w:marLeft w:val="0"/>
          <w:marRight w:val="0"/>
          <w:marTop w:val="75"/>
          <w:marBottom w:val="0"/>
          <w:divBdr>
            <w:top w:val="none" w:sz="0" w:space="0" w:color="auto"/>
            <w:left w:val="none" w:sz="0" w:space="0" w:color="auto"/>
            <w:bottom w:val="none" w:sz="0" w:space="0" w:color="auto"/>
            <w:right w:val="none" w:sz="0" w:space="0" w:color="auto"/>
          </w:divBdr>
          <w:divsChild>
            <w:div w:id="727800489">
              <w:marLeft w:val="75"/>
              <w:marRight w:val="0"/>
              <w:marTop w:val="0"/>
              <w:marBottom w:val="0"/>
              <w:divBdr>
                <w:top w:val="none" w:sz="0" w:space="0" w:color="auto"/>
                <w:left w:val="none" w:sz="0" w:space="0" w:color="auto"/>
                <w:bottom w:val="none" w:sz="0" w:space="0" w:color="auto"/>
                <w:right w:val="none" w:sz="0" w:space="0" w:color="auto"/>
              </w:divBdr>
              <w:divsChild>
                <w:div w:id="1163815544">
                  <w:marLeft w:val="0"/>
                  <w:marRight w:val="0"/>
                  <w:marTop w:val="0"/>
                  <w:marBottom w:val="0"/>
                  <w:divBdr>
                    <w:top w:val="none" w:sz="0" w:space="0" w:color="auto"/>
                    <w:left w:val="none" w:sz="0" w:space="0" w:color="auto"/>
                    <w:bottom w:val="none" w:sz="0" w:space="0" w:color="auto"/>
                    <w:right w:val="none" w:sz="0" w:space="0" w:color="auto"/>
                  </w:divBdr>
                  <w:divsChild>
                    <w:div w:id="1518156172">
                      <w:marLeft w:val="0"/>
                      <w:marRight w:val="0"/>
                      <w:marTop w:val="0"/>
                      <w:marBottom w:val="0"/>
                      <w:divBdr>
                        <w:top w:val="none" w:sz="0" w:space="0" w:color="auto"/>
                        <w:left w:val="none" w:sz="0" w:space="0" w:color="auto"/>
                        <w:bottom w:val="none" w:sz="0" w:space="0" w:color="auto"/>
                        <w:right w:val="none" w:sz="0" w:space="0" w:color="auto"/>
                      </w:divBdr>
                      <w:divsChild>
                        <w:div w:id="235602166">
                          <w:marLeft w:val="0"/>
                          <w:marRight w:val="0"/>
                          <w:marTop w:val="0"/>
                          <w:marBottom w:val="0"/>
                          <w:divBdr>
                            <w:top w:val="none" w:sz="0" w:space="0" w:color="auto"/>
                            <w:left w:val="none" w:sz="0" w:space="0" w:color="auto"/>
                            <w:bottom w:val="none" w:sz="0" w:space="0" w:color="auto"/>
                            <w:right w:val="none" w:sz="0" w:space="0" w:color="auto"/>
                          </w:divBdr>
                          <w:divsChild>
                            <w:div w:id="727413481">
                              <w:marLeft w:val="0"/>
                              <w:marRight w:val="0"/>
                              <w:marTop w:val="0"/>
                              <w:marBottom w:val="0"/>
                              <w:divBdr>
                                <w:top w:val="none" w:sz="0" w:space="0" w:color="auto"/>
                                <w:left w:val="none" w:sz="0" w:space="0" w:color="auto"/>
                                <w:bottom w:val="none" w:sz="0" w:space="0" w:color="auto"/>
                                <w:right w:val="none" w:sz="0" w:space="0" w:color="auto"/>
                              </w:divBdr>
                              <w:divsChild>
                                <w:div w:id="2007441061">
                                  <w:marLeft w:val="0"/>
                                  <w:marRight w:val="0"/>
                                  <w:marTop w:val="0"/>
                                  <w:marBottom w:val="0"/>
                                  <w:divBdr>
                                    <w:top w:val="none" w:sz="0" w:space="0" w:color="auto"/>
                                    <w:left w:val="none" w:sz="0" w:space="0" w:color="auto"/>
                                    <w:bottom w:val="none" w:sz="0" w:space="0" w:color="auto"/>
                                    <w:right w:val="none" w:sz="0" w:space="0" w:color="auto"/>
                                  </w:divBdr>
                                  <w:divsChild>
                                    <w:div w:id="14906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en/publication-download/good-equality-practice-employers-equality-policies-equality-training-and" TargetMode="External"/><Relationship Id="rId18" Type="http://schemas.openxmlformats.org/officeDocument/2006/relationships/hyperlink" Target="http://www.stonewall.org.uk" TargetMode="External"/><Relationship Id="rId26" Type="http://schemas.openxmlformats.org/officeDocument/2006/relationships/hyperlink" Target="http://www.support4sight.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cl.org/locations/22/117/Sensory-Service-Essex/" TargetMode="External"/><Relationship Id="rId34" Type="http://schemas.openxmlformats.org/officeDocument/2006/relationships/hyperlink" Target="http://www.scope.org.uk" TargetMode="External"/><Relationship Id="rId7" Type="http://schemas.openxmlformats.org/officeDocument/2006/relationships/settings" Target="settings.xml"/><Relationship Id="rId12" Type="http://schemas.openxmlformats.org/officeDocument/2006/relationships/hyperlink" Target="https://www.equalityhumanrights.com/en/advice-and-guidance" TargetMode="External"/><Relationship Id="rId17" Type="http://schemas.openxmlformats.org/officeDocument/2006/relationships/hyperlink" Target="http://www.fawcettsociety.org.uk/" TargetMode="External"/><Relationship Id="rId25" Type="http://schemas.openxmlformats.org/officeDocument/2006/relationships/hyperlink" Target="http://www.support4sight.org.uk/" TargetMode="External"/><Relationship Id="rId33" Type="http://schemas.openxmlformats.org/officeDocument/2006/relationships/hyperlink" Target="http://www.scope.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geuk.org.uk/" TargetMode="External"/><Relationship Id="rId20" Type="http://schemas.openxmlformats.org/officeDocument/2006/relationships/hyperlink" Target="http://www.ecdp.org.uk" TargetMode="External"/><Relationship Id="rId29" Type="http://schemas.openxmlformats.org/officeDocument/2006/relationships/hyperlink" Target="http://www.hearinghelpessex.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sexsight.org.uk" TargetMode="External"/><Relationship Id="rId32" Type="http://schemas.openxmlformats.org/officeDocument/2006/relationships/hyperlink" Target="http://www.disabilityrightsuk.uk"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cas.org.uk/index.aspx?articleid=1363" TargetMode="External"/><Relationship Id="rId23" Type="http://schemas.openxmlformats.org/officeDocument/2006/relationships/hyperlink" Target="http://essexsight.org.uk/" TargetMode="External"/><Relationship Id="rId28" Type="http://schemas.openxmlformats.org/officeDocument/2006/relationships/hyperlink" Target="http://www.deafblind.org.uk" TargetMode="External"/><Relationship Id="rId36" Type="http://schemas.openxmlformats.org/officeDocument/2006/relationships/hyperlink" Target="http://www.mind.org.uk" TargetMode="External"/><Relationship Id="rId10" Type="http://schemas.openxmlformats.org/officeDocument/2006/relationships/endnotes" Target="endnotes.xml"/><Relationship Id="rId19" Type="http://schemas.openxmlformats.org/officeDocument/2006/relationships/hyperlink" Target="http://www.ecdp.org.uk/" TargetMode="External"/><Relationship Id="rId31" Type="http://schemas.openxmlformats.org/officeDocument/2006/relationships/hyperlink" Target="http://www.disabilityrights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315587/Equality_Act_Advice_Final.pdf" TargetMode="External"/><Relationship Id="rId22" Type="http://schemas.openxmlformats.org/officeDocument/2006/relationships/hyperlink" Target="http://www.eclsensoryservice.org" TargetMode="External"/><Relationship Id="rId27" Type="http://schemas.openxmlformats.org/officeDocument/2006/relationships/hyperlink" Target="http://deafblind.org.uk/" TargetMode="External"/><Relationship Id="rId30" Type="http://schemas.openxmlformats.org/officeDocument/2006/relationships/hyperlink" Target="http://www.hearinghelpessex.org.uk" TargetMode="External"/><Relationship Id="rId35" Type="http://schemas.openxmlformats.org/officeDocument/2006/relationships/hyperlink" Target="http://www.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DB50-B394-4626-AE24-17E6EC668070}">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3.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7CE6C1-DA58-470E-A420-8B0DFC21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12</cp:revision>
  <cp:lastPrinted>2017-03-24T09:27:00Z</cp:lastPrinted>
  <dcterms:created xsi:type="dcterms:W3CDTF">2017-03-21T16:05:00Z</dcterms:created>
  <dcterms:modified xsi:type="dcterms:W3CDTF">2017-06-22T11:51:00Z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