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D5" w:rsidRDefault="004C31D5" w:rsidP="00375E5C">
      <w:pPr>
        <w:pStyle w:val="NoSpacing"/>
        <w:jc w:val="center"/>
        <w:rPr>
          <w:b/>
          <w:sz w:val="36"/>
          <w:szCs w:val="36"/>
          <w:u w:val="single"/>
        </w:rPr>
      </w:pPr>
    </w:p>
    <w:p w:rsidR="007119DA" w:rsidRDefault="007119DA" w:rsidP="004C31D5">
      <w:pPr>
        <w:jc w:val="center"/>
        <w:rPr>
          <w:rFonts w:ascii="Calibri" w:hAnsi="Calibri" w:cs="Arial"/>
          <w:sz w:val="40"/>
          <w:szCs w:val="40"/>
        </w:rPr>
      </w:pPr>
    </w:p>
    <w:p w:rsidR="00C9224A" w:rsidRDefault="00C9224A" w:rsidP="004C31D5">
      <w:pPr>
        <w:jc w:val="center"/>
        <w:rPr>
          <w:rFonts w:ascii="Calibri" w:hAnsi="Calibri" w:cs="Arial"/>
          <w:sz w:val="40"/>
          <w:szCs w:val="40"/>
        </w:rPr>
      </w:pPr>
    </w:p>
    <w:p w:rsidR="00C9224A" w:rsidRPr="00C9224A" w:rsidRDefault="00C9224A" w:rsidP="00C9224A">
      <w:pPr>
        <w:pStyle w:val="NoSpacing"/>
      </w:pPr>
    </w:p>
    <w:p w:rsidR="00C9224A" w:rsidRDefault="00C9224A" w:rsidP="00C9224A">
      <w:pPr>
        <w:pStyle w:val="NoSpacing"/>
      </w:pPr>
    </w:p>
    <w:p w:rsidR="004C31D5" w:rsidRDefault="004C31D5" w:rsidP="004C31D5">
      <w:pPr>
        <w:jc w:val="center"/>
        <w:rPr>
          <w:rFonts w:ascii="Calibri" w:hAnsi="Calibri" w:cs="Arial"/>
          <w:sz w:val="72"/>
          <w:szCs w:val="24"/>
        </w:rPr>
      </w:pPr>
      <w:r>
        <w:rPr>
          <w:rFonts w:ascii="Calibri" w:hAnsi="Calibri" w:cs="Arial"/>
          <w:sz w:val="72"/>
          <w:szCs w:val="24"/>
        </w:rPr>
        <w:t xml:space="preserve">Local Government Pension Scheme </w:t>
      </w:r>
    </w:p>
    <w:p w:rsidR="004C31D5" w:rsidRDefault="004C31D5" w:rsidP="004C31D5">
      <w:pPr>
        <w:jc w:val="center"/>
        <w:rPr>
          <w:rFonts w:ascii="Calibri" w:hAnsi="Calibri" w:cs="Arial"/>
          <w:sz w:val="72"/>
          <w:szCs w:val="24"/>
        </w:rPr>
      </w:pPr>
      <w:r w:rsidRPr="004C31D5">
        <w:rPr>
          <w:rFonts w:ascii="Calibri" w:hAnsi="Calibri" w:cs="Arial"/>
          <w:sz w:val="72"/>
          <w:szCs w:val="24"/>
        </w:rPr>
        <w:t>Discretions</w:t>
      </w:r>
      <w:r>
        <w:rPr>
          <w:rFonts w:ascii="Calibri" w:hAnsi="Calibri" w:cs="Arial"/>
          <w:sz w:val="72"/>
          <w:szCs w:val="24"/>
        </w:rPr>
        <w:t xml:space="preserve"> </w:t>
      </w:r>
      <w:r w:rsidRPr="004C31D5">
        <w:rPr>
          <w:rFonts w:ascii="Calibri" w:hAnsi="Calibri" w:cs="Arial"/>
          <w:sz w:val="72"/>
          <w:szCs w:val="24"/>
        </w:rPr>
        <w:t>Policy Statement</w:t>
      </w:r>
    </w:p>
    <w:p w:rsidR="007D0ACA" w:rsidRPr="004C31D5" w:rsidRDefault="007D0ACA" w:rsidP="004C31D5">
      <w:pPr>
        <w:jc w:val="center"/>
        <w:rPr>
          <w:rFonts w:ascii="Calibri" w:hAnsi="Calibri" w:cs="Arial"/>
          <w:sz w:val="72"/>
          <w:szCs w:val="24"/>
        </w:rPr>
      </w:pPr>
    </w:p>
    <w:p w:rsidR="004C31D5" w:rsidRDefault="007A46A1" w:rsidP="007119DA">
      <w:pPr>
        <w:jc w:val="center"/>
        <w:rPr>
          <w:rFonts w:ascii="Calibri" w:hAnsi="Calibri" w:cs="Arial"/>
          <w:sz w:val="28"/>
          <w:szCs w:val="28"/>
        </w:rPr>
      </w:pPr>
      <w:r w:rsidRPr="007C6703">
        <w:rPr>
          <w:noProof/>
          <w:lang w:eastAsia="en-GB"/>
        </w:rPr>
        <w:drawing>
          <wp:inline distT="0" distB="0" distL="0" distR="0">
            <wp:extent cx="19812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3" t="48314" r="46555" b="4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DA" w:rsidRDefault="007119DA" w:rsidP="007119DA">
      <w:pPr>
        <w:jc w:val="center"/>
        <w:rPr>
          <w:rFonts w:ascii="Calibri" w:hAnsi="Calibri" w:cs="Arial"/>
          <w:sz w:val="28"/>
          <w:szCs w:val="28"/>
        </w:rPr>
      </w:pPr>
    </w:p>
    <w:p w:rsidR="007119DA" w:rsidRPr="004C31D5" w:rsidRDefault="007119DA" w:rsidP="007119DA">
      <w:pPr>
        <w:jc w:val="center"/>
        <w:rPr>
          <w:rFonts w:ascii="Calibri" w:hAnsi="Calibri" w:cs="Arial"/>
          <w:sz w:val="28"/>
          <w:szCs w:val="28"/>
        </w:rPr>
      </w:pPr>
    </w:p>
    <w:p w:rsidR="004C31D5" w:rsidRPr="004C31D5" w:rsidRDefault="004C31D5" w:rsidP="004C31D5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C31D5" w:rsidRPr="004C31D5" w:rsidTr="00D275E3">
        <w:trPr>
          <w:jc w:val="center"/>
        </w:trPr>
        <w:tc>
          <w:tcPr>
            <w:tcW w:w="4428" w:type="dxa"/>
            <w:shd w:val="clear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  <w:r w:rsidRPr="007D0ACA">
              <w:rPr>
                <w:rFonts w:ascii="Calibri" w:hAnsi="Calibri" w:cs="Arial"/>
                <w:sz w:val="22"/>
                <w:szCs w:val="22"/>
              </w:rPr>
              <w:t xml:space="preserve">Author’s Name: </w:t>
            </w:r>
          </w:p>
        </w:tc>
        <w:tc>
          <w:tcPr>
            <w:tcW w:w="4428" w:type="dxa"/>
            <w:shd w:val="clear" w:color="auto" w:fill="auto"/>
          </w:tcPr>
          <w:p w:rsidR="004C31D5" w:rsidRPr="007D0ACA" w:rsidRDefault="007D0ACA" w:rsidP="004C31D5">
            <w:pPr>
              <w:rPr>
                <w:rFonts w:ascii="Calibri" w:hAnsi="Calibri" w:cs="Arial"/>
                <w:sz w:val="22"/>
                <w:szCs w:val="22"/>
              </w:rPr>
            </w:pPr>
            <w:r w:rsidRPr="007D0ACA">
              <w:rPr>
                <w:rFonts w:ascii="Calibri" w:hAnsi="Calibri" w:cs="Arial"/>
                <w:sz w:val="22"/>
                <w:szCs w:val="22"/>
              </w:rPr>
              <w:t>Mr. N. Houchen</w:t>
            </w:r>
          </w:p>
        </w:tc>
      </w:tr>
      <w:tr w:rsidR="004C31D5" w:rsidRPr="004C31D5" w:rsidTr="00D275E3">
        <w:trPr>
          <w:jc w:val="center"/>
        </w:trPr>
        <w:tc>
          <w:tcPr>
            <w:tcW w:w="4428" w:type="dxa"/>
            <w:shd w:val="clear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  <w:r w:rsidRPr="007D0ACA">
              <w:rPr>
                <w:rFonts w:ascii="Calibri" w:hAnsi="Calibri" w:cs="Arial"/>
                <w:sz w:val="22"/>
                <w:szCs w:val="22"/>
              </w:rPr>
              <w:t>Date Reviewed</w:t>
            </w:r>
          </w:p>
        </w:tc>
        <w:tc>
          <w:tcPr>
            <w:tcW w:w="4428" w:type="dxa"/>
            <w:shd w:val="clear" w:color="auto" w:fill="auto"/>
          </w:tcPr>
          <w:p w:rsidR="004C31D5" w:rsidRPr="007D0ACA" w:rsidRDefault="00383634" w:rsidP="004C31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June </w:t>
            </w:r>
            <w:bookmarkStart w:id="0" w:name="_GoBack"/>
            <w:bookmarkEnd w:id="0"/>
            <w:r w:rsidR="00C9224A"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</w:tr>
      <w:tr w:rsidR="004C31D5" w:rsidRPr="004C31D5" w:rsidTr="00D275E3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C31D5" w:rsidRPr="007D0ACA" w:rsidRDefault="00C9224A" w:rsidP="004C31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Ratified by the Trust 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31D5" w:rsidRPr="004C31D5" w:rsidTr="00D275E3">
        <w:trPr>
          <w:jc w:val="center"/>
        </w:trPr>
        <w:tc>
          <w:tcPr>
            <w:tcW w:w="4428" w:type="dxa"/>
            <w:shd w:val="pct12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shd w:val="pct12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31D5" w:rsidRPr="004C31D5" w:rsidTr="00D275E3">
        <w:trPr>
          <w:jc w:val="center"/>
        </w:trPr>
        <w:tc>
          <w:tcPr>
            <w:tcW w:w="4428" w:type="dxa"/>
            <w:shd w:val="clear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  <w:r w:rsidRPr="007D0ACA">
              <w:rPr>
                <w:rFonts w:ascii="Calibri" w:hAnsi="Calibri" w:cs="Arial"/>
                <w:sz w:val="22"/>
                <w:szCs w:val="22"/>
              </w:rPr>
              <w:t xml:space="preserve">Signature of </w:t>
            </w:r>
            <w:r w:rsidR="00C9224A">
              <w:rPr>
                <w:rFonts w:ascii="Calibri" w:hAnsi="Calibri" w:cs="Arial"/>
                <w:sz w:val="22"/>
                <w:szCs w:val="22"/>
              </w:rPr>
              <w:t>CEO</w:t>
            </w:r>
          </w:p>
        </w:tc>
        <w:tc>
          <w:tcPr>
            <w:tcW w:w="4428" w:type="dxa"/>
            <w:shd w:val="clear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31D5" w:rsidRPr="004C31D5" w:rsidTr="00D275E3">
        <w:trPr>
          <w:jc w:val="center"/>
        </w:trPr>
        <w:tc>
          <w:tcPr>
            <w:tcW w:w="4428" w:type="dxa"/>
            <w:shd w:val="clear" w:color="auto" w:fill="auto"/>
          </w:tcPr>
          <w:p w:rsidR="004C31D5" w:rsidRPr="007D0ACA" w:rsidRDefault="00C9224A" w:rsidP="004C31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 of Chair of Trust</w:t>
            </w:r>
          </w:p>
        </w:tc>
        <w:tc>
          <w:tcPr>
            <w:tcW w:w="4428" w:type="dxa"/>
            <w:shd w:val="clear" w:color="auto" w:fill="auto"/>
          </w:tcPr>
          <w:p w:rsidR="004C31D5" w:rsidRPr="007D0ACA" w:rsidRDefault="004C31D5" w:rsidP="004C31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C31D5" w:rsidRDefault="004C31D5" w:rsidP="004C31D5">
      <w:pPr>
        <w:rPr>
          <w:rFonts w:ascii="Arial" w:hAnsi="Arial"/>
          <w:szCs w:val="24"/>
        </w:rPr>
      </w:pPr>
    </w:p>
    <w:p w:rsidR="007D0ACA" w:rsidRDefault="007D0ACA" w:rsidP="004C31D5">
      <w:pPr>
        <w:rPr>
          <w:rFonts w:ascii="Arial" w:hAnsi="Arial"/>
          <w:szCs w:val="24"/>
        </w:rPr>
      </w:pPr>
    </w:p>
    <w:p w:rsidR="007D0ACA" w:rsidRDefault="007D0ACA" w:rsidP="004C31D5">
      <w:pPr>
        <w:rPr>
          <w:rFonts w:ascii="Arial" w:hAnsi="Arial"/>
          <w:szCs w:val="24"/>
        </w:rPr>
      </w:pPr>
    </w:p>
    <w:p w:rsidR="007D0ACA" w:rsidRDefault="007D0ACA" w:rsidP="004C31D5">
      <w:pPr>
        <w:rPr>
          <w:rFonts w:ascii="Arial" w:hAnsi="Arial"/>
          <w:szCs w:val="24"/>
        </w:rPr>
      </w:pPr>
    </w:p>
    <w:p w:rsidR="007D0ACA" w:rsidRDefault="007D0ACA" w:rsidP="004C31D5">
      <w:pPr>
        <w:rPr>
          <w:rFonts w:ascii="Arial" w:hAnsi="Arial"/>
          <w:szCs w:val="24"/>
        </w:rPr>
      </w:pPr>
    </w:p>
    <w:p w:rsidR="007D0ACA" w:rsidRPr="004C31D5" w:rsidRDefault="007D0ACA" w:rsidP="004C31D5">
      <w:pPr>
        <w:rPr>
          <w:rFonts w:ascii="Arial" w:hAnsi="Arial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 w:eastAsia="en-US"/>
        </w:rPr>
        <w:id w:val="1196578454"/>
        <w:docPartObj>
          <w:docPartGallery w:val="Table of Contents"/>
          <w:docPartUnique/>
        </w:docPartObj>
      </w:sdtPr>
      <w:sdtEndPr>
        <w:rPr>
          <w:rFonts w:asciiTheme="minorHAnsi" w:hAnsiTheme="minorHAnsi"/>
          <w:noProof/>
        </w:rPr>
      </w:sdtEndPr>
      <w:sdtContent>
        <w:p w:rsidR="00D31D02" w:rsidRPr="007119DA" w:rsidRDefault="00D31D02" w:rsidP="007D0ACA">
          <w:pPr>
            <w:pStyle w:val="TOCHeading"/>
            <w:jc w:val="center"/>
            <w:rPr>
              <w:rFonts w:asciiTheme="minorHAnsi" w:hAnsiTheme="minorHAnsi"/>
              <w:color w:val="auto"/>
            </w:rPr>
          </w:pPr>
          <w:r w:rsidRPr="007119DA">
            <w:rPr>
              <w:rFonts w:asciiTheme="minorHAnsi" w:hAnsiTheme="minorHAnsi"/>
              <w:color w:val="auto"/>
            </w:rPr>
            <w:t>Contents</w:t>
          </w:r>
        </w:p>
        <w:p w:rsidR="001725AE" w:rsidRPr="00C9224A" w:rsidRDefault="00C14F8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r w:rsidRPr="007D0ACA">
            <w:rPr>
              <w:rFonts w:asciiTheme="minorHAnsi" w:hAnsiTheme="minorHAnsi"/>
            </w:rPr>
            <w:fldChar w:fldCharType="begin"/>
          </w:r>
          <w:r w:rsidRPr="007D0ACA">
            <w:rPr>
              <w:rFonts w:asciiTheme="minorHAnsi" w:hAnsiTheme="minorHAnsi"/>
            </w:rPr>
            <w:instrText xml:space="preserve"> TOC \o "1-3" \h \z \u </w:instrText>
          </w:r>
          <w:r w:rsidRPr="007D0ACA">
            <w:rPr>
              <w:rFonts w:asciiTheme="minorHAnsi" w:hAnsiTheme="minorHAnsi"/>
            </w:rPr>
            <w:fldChar w:fldCharType="separate"/>
          </w:r>
          <w:hyperlink w:anchor="_Toc392744604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1.</w:t>
            </w:r>
            <w:r w:rsidR="001725AE" w:rsidRPr="00C9224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Introduction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_Toc392744604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3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Pr="00C9224A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05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2.</w:t>
            </w:r>
            <w:r w:rsidR="001725AE" w:rsidRPr="00C9224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Employer Discretions - Local Government Pension Scheme Regulations 2013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_Toc392744605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4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Pr="00C9224A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06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3.</w:t>
            </w:r>
            <w:r w:rsidR="001725AE" w:rsidRPr="00C9224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Additional Employer Discretions – LGPS Regulations 2013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_Toc392744606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5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Pr="00C9224A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07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4.  Employer Discretions - Local Government Pension Scheme (Administration) Regulations 2008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_Toc392744607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6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Pr="00C9224A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08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5.</w:t>
            </w:r>
            <w:r w:rsidR="001725AE" w:rsidRPr="00C9224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Employer Discretions – Local Government Pension Scheme Regulations 1997 (as amended) in relation to pre 1 April 2008 leavers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_Toc392744608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7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Pr="00C9224A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09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6.</w:t>
            </w:r>
            <w:r w:rsidR="001725AE" w:rsidRPr="00C9224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Employer Discretions – Local Government Pension Scheme Regulations 1995 (as amended) in relation to pre 1 April 1998 leavers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_Toc392744609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8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Pr="00C9224A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10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7.</w:t>
            </w:r>
            <w:r w:rsidR="001725AE" w:rsidRPr="00C9224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</w:rPr>
              <w:t>Employer Discretions under the Local Government (Early Termination of Employment) (Discretionary Compensation) (England and Wales) Regulations 2006 (as amended)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_Toc392744610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8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Pr="00C9224A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11" w:history="1">
            <w:r w:rsidR="001725AE" w:rsidRPr="00C9224A">
              <w:rPr>
                <w:rStyle w:val="Hyperlink"/>
                <w:rFonts w:asciiTheme="minorHAnsi" w:eastAsia="Arial Unicode MS" w:hAnsiTheme="minorHAnsi"/>
                <w:b w:val="0"/>
                <w:noProof/>
              </w:rPr>
              <w:t>8.</w:t>
            </w:r>
            <w:r w:rsidR="001725AE" w:rsidRPr="00C9224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1725AE" w:rsidRPr="00C9224A">
              <w:rPr>
                <w:rStyle w:val="Hyperlink"/>
                <w:rFonts w:asciiTheme="minorHAnsi" w:eastAsia="Arial Unicode MS" w:hAnsiTheme="minorHAnsi"/>
                <w:b w:val="0"/>
                <w:noProof/>
              </w:rPr>
              <w:t>Employer Discretions under the Local Government (Discretionary Payments) (Injury Allowance) Regulations 2011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_Toc392744611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9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1725AE" w:rsidRDefault="0038363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392744612" w:history="1">
            <w:r w:rsidR="001725AE" w:rsidRPr="00C9224A">
              <w:rPr>
                <w:rStyle w:val="Hyperlink"/>
                <w:rFonts w:asciiTheme="minorHAnsi" w:hAnsiTheme="minorHAnsi"/>
                <w:b w:val="0"/>
                <w:noProof/>
                <w:lang w:eastAsia="en-GB"/>
              </w:rPr>
              <w:t>Appendix A: APPLICATION FOR FLEXIBLE RETIREMENT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tab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begin"/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instrText xml:space="preserve"> PAGEREF _Toc392744612 \h </w:instrTex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separate"/>
            </w:r>
            <w:r w:rsidR="001909D3" w:rsidRPr="00C9224A">
              <w:rPr>
                <w:rFonts w:asciiTheme="minorHAnsi" w:hAnsiTheme="minorHAnsi"/>
                <w:b w:val="0"/>
                <w:noProof/>
                <w:webHidden/>
              </w:rPr>
              <w:t>11</w:t>
            </w:r>
            <w:r w:rsidR="001725AE" w:rsidRPr="00C9224A">
              <w:rPr>
                <w:rFonts w:asciiTheme="minorHAnsi" w:hAnsiTheme="minorHAnsi"/>
                <w:b w:val="0"/>
                <w:noProof/>
                <w:webHidden/>
              </w:rPr>
              <w:fldChar w:fldCharType="end"/>
            </w:r>
          </w:hyperlink>
        </w:p>
        <w:p w:rsidR="00D31D02" w:rsidRPr="007D0ACA" w:rsidRDefault="00C14F84">
          <w:pPr>
            <w:rPr>
              <w:rFonts w:asciiTheme="minorHAnsi" w:hAnsiTheme="minorHAnsi"/>
            </w:rPr>
          </w:pPr>
          <w:r w:rsidRPr="007D0ACA">
            <w:rPr>
              <w:rFonts w:asciiTheme="minorHAnsi" w:hAnsiTheme="minorHAnsi"/>
              <w:szCs w:val="24"/>
            </w:rPr>
            <w:fldChar w:fldCharType="end"/>
          </w:r>
        </w:p>
      </w:sdtContent>
    </w:sdt>
    <w:p w:rsidR="00D31D02" w:rsidRPr="007D0ACA" w:rsidRDefault="00D31D02">
      <w:pPr>
        <w:spacing w:after="200" w:line="276" w:lineRule="auto"/>
        <w:rPr>
          <w:rFonts w:asciiTheme="minorHAnsi" w:eastAsiaTheme="minorHAnsi" w:hAnsiTheme="minorHAnsi" w:cs="Tahoma"/>
          <w:b/>
          <w:szCs w:val="24"/>
        </w:rPr>
      </w:pPr>
      <w:r w:rsidRPr="007D0ACA">
        <w:rPr>
          <w:rFonts w:asciiTheme="minorHAnsi" w:hAnsiTheme="minorHAnsi" w:cs="Tahoma"/>
          <w:b/>
        </w:rPr>
        <w:br w:type="page"/>
      </w:r>
    </w:p>
    <w:p w:rsidR="003159CE" w:rsidRPr="00375E5C" w:rsidRDefault="003159CE" w:rsidP="00C1606D">
      <w:pPr>
        <w:pStyle w:val="NoSpacing"/>
        <w:rPr>
          <w:rFonts w:ascii="Verdana" w:hAnsi="Verdana" w:cs="Tahoma"/>
          <w:b/>
        </w:rPr>
      </w:pPr>
    </w:p>
    <w:p w:rsidR="00376750" w:rsidRPr="007119DA" w:rsidRDefault="007119DA" w:rsidP="007119DA">
      <w:pPr>
        <w:pStyle w:val="Heading1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1" w:name="_Toc392744604"/>
      <w:r>
        <w:rPr>
          <w:rFonts w:asciiTheme="minorHAnsi" w:hAnsiTheme="minorHAnsi"/>
          <w:color w:val="auto"/>
        </w:rPr>
        <w:t xml:space="preserve"> </w:t>
      </w:r>
      <w:r w:rsidR="00D96B96" w:rsidRPr="007119DA">
        <w:rPr>
          <w:rFonts w:asciiTheme="minorHAnsi" w:hAnsiTheme="minorHAnsi"/>
          <w:color w:val="auto"/>
        </w:rPr>
        <w:t>Introduction</w:t>
      </w:r>
      <w:bookmarkEnd w:id="1"/>
    </w:p>
    <w:p w:rsidR="00D96B96" w:rsidRPr="00D96B96" w:rsidRDefault="00D96B96" w:rsidP="00C1606D">
      <w:pPr>
        <w:tabs>
          <w:tab w:val="left" w:leader="underscore" w:pos="9389"/>
        </w:tabs>
        <w:rPr>
          <w:rFonts w:ascii="Verdana" w:hAnsi="Verdana" w:cs="Tahoma"/>
          <w:b/>
        </w:rPr>
      </w:pPr>
    </w:p>
    <w:p w:rsidR="00767386" w:rsidRPr="00C9224A" w:rsidRDefault="00C1606D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</w:rPr>
      </w:pPr>
      <w:r w:rsidRPr="00C9224A">
        <w:rPr>
          <w:rFonts w:asciiTheme="minorHAnsi" w:hAnsiTheme="minorHAnsi" w:cs="Tahoma"/>
          <w:sz w:val="22"/>
          <w:szCs w:val="22"/>
        </w:rPr>
        <w:t>Under the LGPS R</w:t>
      </w:r>
      <w:r w:rsidR="00376750" w:rsidRPr="00C9224A">
        <w:rPr>
          <w:rFonts w:asciiTheme="minorHAnsi" w:hAnsiTheme="minorHAnsi" w:cs="Tahoma"/>
          <w:sz w:val="22"/>
          <w:szCs w:val="22"/>
        </w:rPr>
        <w:t>egulations 20</w:t>
      </w:r>
      <w:r w:rsidR="0054346A" w:rsidRPr="00C9224A">
        <w:rPr>
          <w:rFonts w:asciiTheme="minorHAnsi" w:hAnsiTheme="minorHAnsi" w:cs="Tahoma"/>
          <w:sz w:val="22"/>
          <w:szCs w:val="22"/>
        </w:rPr>
        <w:t>13</w:t>
      </w:r>
      <w:r w:rsidR="00C9224A" w:rsidRPr="00C9224A">
        <w:rPr>
          <w:rFonts w:asciiTheme="minorHAnsi" w:hAnsiTheme="minorHAnsi" w:cs="Tahoma"/>
          <w:sz w:val="22"/>
          <w:szCs w:val="22"/>
        </w:rPr>
        <w:t>,</w:t>
      </w:r>
      <w:r w:rsidR="00376750" w:rsidRPr="00C9224A">
        <w:rPr>
          <w:rFonts w:asciiTheme="minorHAnsi" w:hAnsiTheme="minorHAnsi" w:cs="Tahoma"/>
          <w:sz w:val="22"/>
          <w:szCs w:val="22"/>
        </w:rPr>
        <w:t xml:space="preserve"> effective from 1</w:t>
      </w:r>
      <w:r w:rsidRPr="00C9224A">
        <w:rPr>
          <w:rFonts w:asciiTheme="minorHAnsi" w:hAnsiTheme="minorHAnsi" w:cs="Tahoma"/>
          <w:sz w:val="22"/>
          <w:szCs w:val="22"/>
        </w:rPr>
        <w:t xml:space="preserve"> April 20</w:t>
      </w:r>
      <w:r w:rsidR="0054346A" w:rsidRPr="00C9224A">
        <w:rPr>
          <w:rFonts w:asciiTheme="minorHAnsi" w:hAnsiTheme="minorHAnsi" w:cs="Tahoma"/>
          <w:sz w:val="22"/>
          <w:szCs w:val="22"/>
        </w:rPr>
        <w:t>14</w:t>
      </w:r>
      <w:r w:rsidRPr="00C9224A">
        <w:rPr>
          <w:rFonts w:asciiTheme="minorHAnsi" w:hAnsiTheme="minorHAnsi" w:cs="Tahoma"/>
          <w:sz w:val="22"/>
          <w:szCs w:val="22"/>
        </w:rPr>
        <w:t xml:space="preserve">, all employers participating in the </w:t>
      </w:r>
      <w:r w:rsidR="00D96B96" w:rsidRPr="00C9224A">
        <w:rPr>
          <w:rFonts w:asciiTheme="minorHAnsi" w:hAnsiTheme="minorHAnsi" w:cs="Tahoma"/>
          <w:sz w:val="22"/>
          <w:szCs w:val="22"/>
        </w:rPr>
        <w:t xml:space="preserve">Local </w:t>
      </w:r>
      <w:r w:rsidR="00C9224A">
        <w:rPr>
          <w:rFonts w:asciiTheme="minorHAnsi" w:hAnsiTheme="minorHAnsi" w:cs="Tahoma"/>
          <w:sz w:val="22"/>
          <w:szCs w:val="22"/>
        </w:rPr>
        <w:t>Government Pension Scheme (</w:t>
      </w:r>
      <w:r w:rsidRPr="00C9224A">
        <w:rPr>
          <w:rFonts w:asciiTheme="minorHAnsi" w:hAnsiTheme="minorHAnsi" w:cs="Tahoma"/>
          <w:sz w:val="22"/>
          <w:szCs w:val="22"/>
        </w:rPr>
        <w:t>LGPS</w:t>
      </w:r>
      <w:r w:rsidR="00D96B96" w:rsidRPr="00C9224A">
        <w:rPr>
          <w:rFonts w:asciiTheme="minorHAnsi" w:hAnsiTheme="minorHAnsi" w:cs="Tahoma"/>
          <w:sz w:val="22"/>
          <w:szCs w:val="22"/>
        </w:rPr>
        <w:t>)</w:t>
      </w:r>
      <w:r w:rsidRPr="00C9224A">
        <w:rPr>
          <w:rFonts w:asciiTheme="minorHAnsi" w:hAnsiTheme="minorHAnsi" w:cs="Tahoma"/>
          <w:sz w:val="22"/>
          <w:szCs w:val="22"/>
        </w:rPr>
        <w:t xml:space="preserve"> are required to prepare and publish a written statement on how it will exercise the various dis</w:t>
      </w:r>
      <w:r w:rsidR="0045786B" w:rsidRPr="00C9224A">
        <w:rPr>
          <w:rFonts w:asciiTheme="minorHAnsi" w:hAnsiTheme="minorHAnsi" w:cs="Tahoma"/>
          <w:sz w:val="22"/>
          <w:szCs w:val="22"/>
        </w:rPr>
        <w:t xml:space="preserve">cretions provided by </w:t>
      </w:r>
      <w:r w:rsidR="00DC2592" w:rsidRPr="00C9224A">
        <w:rPr>
          <w:rFonts w:asciiTheme="minorHAnsi" w:hAnsiTheme="minorHAnsi" w:cs="Tahoma"/>
          <w:sz w:val="22"/>
          <w:szCs w:val="22"/>
        </w:rPr>
        <w:t>LGPS 2014,</w:t>
      </w:r>
      <w:r w:rsidR="0045786B" w:rsidRPr="00C9224A">
        <w:rPr>
          <w:rFonts w:asciiTheme="minorHAnsi" w:hAnsiTheme="minorHAnsi" w:cs="Tahoma"/>
          <w:sz w:val="22"/>
          <w:szCs w:val="22"/>
        </w:rPr>
        <w:t xml:space="preserve"> LGPS 2008, LGPS 1997, Compensation and Injury Allowances Regulations</w:t>
      </w:r>
    </w:p>
    <w:p w:rsidR="00767386" w:rsidRPr="00C9224A" w:rsidRDefault="00767386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</w:rPr>
      </w:pPr>
    </w:p>
    <w:p w:rsidR="00767386" w:rsidRPr="00C9224A" w:rsidRDefault="00C1606D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</w:rPr>
      </w:pPr>
      <w:r w:rsidRPr="00C9224A">
        <w:rPr>
          <w:rFonts w:asciiTheme="minorHAnsi" w:hAnsiTheme="minorHAnsi" w:cs="Tahoma"/>
          <w:sz w:val="22"/>
          <w:szCs w:val="22"/>
        </w:rPr>
        <w:t xml:space="preserve">This document includes discretionary </w:t>
      </w:r>
      <w:r w:rsidR="00957904" w:rsidRPr="00C9224A">
        <w:rPr>
          <w:rFonts w:asciiTheme="minorHAnsi" w:hAnsiTheme="minorHAnsi" w:cs="Tahoma"/>
          <w:sz w:val="22"/>
          <w:szCs w:val="22"/>
        </w:rPr>
        <w:t>policies</w:t>
      </w:r>
      <w:r w:rsidRPr="00C9224A">
        <w:rPr>
          <w:rFonts w:asciiTheme="minorHAnsi" w:hAnsiTheme="minorHAnsi" w:cs="Tahoma"/>
          <w:sz w:val="22"/>
          <w:szCs w:val="22"/>
        </w:rPr>
        <w:t xml:space="preserve"> </w:t>
      </w:r>
      <w:r w:rsidR="00376750" w:rsidRPr="00C9224A">
        <w:rPr>
          <w:rFonts w:asciiTheme="minorHAnsi" w:hAnsiTheme="minorHAnsi" w:cs="Tahoma"/>
          <w:sz w:val="22"/>
          <w:szCs w:val="22"/>
        </w:rPr>
        <w:t>for</w:t>
      </w:r>
      <w:r w:rsidR="00DC2592" w:rsidRPr="00C9224A">
        <w:rPr>
          <w:rFonts w:asciiTheme="minorHAnsi" w:hAnsiTheme="minorHAnsi" w:cs="Tahoma"/>
          <w:sz w:val="22"/>
          <w:szCs w:val="22"/>
        </w:rPr>
        <w:t xml:space="preserve"> LGPS Regulations</w:t>
      </w:r>
      <w:r w:rsidR="00784C4E" w:rsidRPr="00C9224A">
        <w:rPr>
          <w:rFonts w:asciiTheme="minorHAnsi" w:hAnsiTheme="minorHAnsi" w:cs="Tahoma"/>
          <w:sz w:val="22"/>
          <w:szCs w:val="22"/>
        </w:rPr>
        <w:t xml:space="preserve"> 2013</w:t>
      </w:r>
      <w:r w:rsidR="00DC2592" w:rsidRPr="00C9224A">
        <w:rPr>
          <w:rFonts w:asciiTheme="minorHAnsi" w:hAnsiTheme="minorHAnsi" w:cs="Tahoma"/>
          <w:sz w:val="22"/>
          <w:szCs w:val="22"/>
        </w:rPr>
        <w:t xml:space="preserve"> as required </w:t>
      </w:r>
      <w:r w:rsidR="00FE5FBC" w:rsidRPr="00C9224A">
        <w:rPr>
          <w:rFonts w:asciiTheme="minorHAnsi" w:hAnsiTheme="minorHAnsi" w:cs="Tahoma"/>
          <w:sz w:val="22"/>
          <w:szCs w:val="22"/>
        </w:rPr>
        <w:t>by</w:t>
      </w:r>
      <w:r w:rsidR="0054346A" w:rsidRPr="00C9224A">
        <w:rPr>
          <w:rFonts w:asciiTheme="minorHAnsi" w:hAnsiTheme="minorHAnsi" w:cs="Tahoma"/>
          <w:sz w:val="22"/>
          <w:szCs w:val="22"/>
        </w:rPr>
        <w:t xml:space="preserve"> regulation 60</w:t>
      </w:r>
      <w:r w:rsidR="00DC2592" w:rsidRPr="00C9224A">
        <w:rPr>
          <w:rFonts w:asciiTheme="minorHAnsi" w:hAnsiTheme="minorHAnsi" w:cs="Tahoma"/>
          <w:sz w:val="22"/>
          <w:szCs w:val="22"/>
        </w:rPr>
        <w:t>,</w:t>
      </w:r>
      <w:r w:rsidR="00376750" w:rsidRPr="00C9224A">
        <w:rPr>
          <w:rFonts w:asciiTheme="minorHAnsi" w:hAnsiTheme="minorHAnsi" w:cs="Tahoma"/>
          <w:sz w:val="22"/>
          <w:szCs w:val="22"/>
        </w:rPr>
        <w:t xml:space="preserve"> LGPS </w:t>
      </w:r>
      <w:r w:rsidR="00784C4E" w:rsidRPr="00C9224A">
        <w:rPr>
          <w:rFonts w:asciiTheme="minorHAnsi" w:hAnsiTheme="minorHAnsi" w:cs="Tahoma"/>
          <w:sz w:val="22"/>
          <w:szCs w:val="22"/>
        </w:rPr>
        <w:t xml:space="preserve">(Administration) </w:t>
      </w:r>
      <w:r w:rsidR="00376750" w:rsidRPr="00C9224A">
        <w:rPr>
          <w:rFonts w:asciiTheme="minorHAnsi" w:hAnsiTheme="minorHAnsi" w:cs="Tahoma"/>
          <w:sz w:val="22"/>
          <w:szCs w:val="22"/>
        </w:rPr>
        <w:t>Regulations</w:t>
      </w:r>
      <w:r w:rsidR="00784C4E" w:rsidRPr="00C9224A">
        <w:rPr>
          <w:rFonts w:asciiTheme="minorHAnsi" w:hAnsiTheme="minorHAnsi" w:cs="Tahoma"/>
          <w:sz w:val="22"/>
          <w:szCs w:val="22"/>
        </w:rPr>
        <w:t xml:space="preserve"> 2008</w:t>
      </w:r>
      <w:r w:rsidR="0045786B" w:rsidRPr="00C9224A">
        <w:rPr>
          <w:rFonts w:asciiTheme="minorHAnsi" w:hAnsiTheme="minorHAnsi" w:cs="Tahoma"/>
          <w:sz w:val="22"/>
          <w:szCs w:val="22"/>
        </w:rPr>
        <w:t xml:space="preserve"> as required </w:t>
      </w:r>
      <w:r w:rsidR="00FE5FBC" w:rsidRPr="00C9224A">
        <w:rPr>
          <w:rFonts w:asciiTheme="minorHAnsi" w:hAnsiTheme="minorHAnsi" w:cs="Tahoma"/>
          <w:sz w:val="22"/>
          <w:szCs w:val="22"/>
        </w:rPr>
        <w:t>by</w:t>
      </w:r>
      <w:r w:rsidR="0045786B" w:rsidRPr="00C9224A">
        <w:rPr>
          <w:rFonts w:asciiTheme="minorHAnsi" w:hAnsiTheme="minorHAnsi" w:cs="Tahoma"/>
          <w:sz w:val="22"/>
          <w:szCs w:val="22"/>
        </w:rPr>
        <w:t xml:space="preserve"> regulation 66</w:t>
      </w:r>
      <w:r w:rsidR="00376750" w:rsidRPr="00C9224A">
        <w:rPr>
          <w:rFonts w:asciiTheme="minorHAnsi" w:hAnsiTheme="minorHAnsi" w:cs="Tahoma"/>
          <w:sz w:val="22"/>
          <w:szCs w:val="22"/>
        </w:rPr>
        <w:t xml:space="preserve"> and</w:t>
      </w:r>
      <w:r w:rsidR="0059001A" w:rsidRPr="00C9224A">
        <w:rPr>
          <w:rFonts w:asciiTheme="minorHAnsi" w:hAnsiTheme="minorHAnsi" w:cs="Tahoma"/>
          <w:sz w:val="22"/>
          <w:szCs w:val="22"/>
        </w:rPr>
        <w:t xml:space="preserve"> 1997 LGPS Regulations</w:t>
      </w:r>
      <w:r w:rsidR="0045786B" w:rsidRPr="00C9224A">
        <w:rPr>
          <w:rFonts w:asciiTheme="minorHAnsi" w:hAnsiTheme="minorHAnsi" w:cs="Tahoma"/>
          <w:sz w:val="22"/>
          <w:szCs w:val="22"/>
        </w:rPr>
        <w:t xml:space="preserve"> </w:t>
      </w:r>
      <w:r w:rsidR="00C27B83" w:rsidRPr="00C9224A">
        <w:rPr>
          <w:rFonts w:asciiTheme="minorHAnsi" w:hAnsiTheme="minorHAnsi" w:cs="Tahoma"/>
          <w:sz w:val="22"/>
          <w:szCs w:val="22"/>
        </w:rPr>
        <w:t xml:space="preserve">as required </w:t>
      </w:r>
      <w:r w:rsidR="00FE5FBC" w:rsidRPr="00C9224A">
        <w:rPr>
          <w:rFonts w:asciiTheme="minorHAnsi" w:hAnsiTheme="minorHAnsi" w:cs="Tahoma"/>
          <w:sz w:val="22"/>
          <w:szCs w:val="22"/>
        </w:rPr>
        <w:t>by</w:t>
      </w:r>
      <w:r w:rsidR="0045786B" w:rsidRPr="00C9224A">
        <w:rPr>
          <w:rFonts w:asciiTheme="minorHAnsi" w:hAnsiTheme="minorHAnsi" w:cs="Tahoma"/>
          <w:sz w:val="22"/>
          <w:szCs w:val="22"/>
        </w:rPr>
        <w:t xml:space="preserve"> regulation 106</w:t>
      </w:r>
      <w:r w:rsidR="00376750" w:rsidRPr="00C9224A">
        <w:rPr>
          <w:rFonts w:asciiTheme="minorHAnsi" w:hAnsiTheme="minorHAnsi" w:cs="Tahoma"/>
          <w:sz w:val="22"/>
          <w:szCs w:val="22"/>
        </w:rPr>
        <w:t xml:space="preserve"> </w:t>
      </w:r>
      <w:r w:rsidR="0059001A" w:rsidRPr="00C9224A">
        <w:rPr>
          <w:rFonts w:asciiTheme="minorHAnsi" w:hAnsiTheme="minorHAnsi" w:cs="Tahoma"/>
          <w:sz w:val="22"/>
          <w:szCs w:val="22"/>
        </w:rPr>
        <w:t>(</w:t>
      </w:r>
      <w:r w:rsidR="0045786B" w:rsidRPr="00C9224A">
        <w:rPr>
          <w:rFonts w:asciiTheme="minorHAnsi" w:hAnsiTheme="minorHAnsi" w:cs="Tahoma"/>
          <w:sz w:val="22"/>
          <w:szCs w:val="22"/>
        </w:rPr>
        <w:t>for p</w:t>
      </w:r>
      <w:r w:rsidR="00957904" w:rsidRPr="00C9224A">
        <w:rPr>
          <w:rFonts w:asciiTheme="minorHAnsi" w:hAnsiTheme="minorHAnsi" w:cs="Tahoma"/>
          <w:sz w:val="22"/>
          <w:szCs w:val="22"/>
        </w:rPr>
        <w:t>re 1 April 2008 leavers</w:t>
      </w:r>
      <w:r w:rsidR="00D96B96" w:rsidRPr="00C9224A">
        <w:rPr>
          <w:rFonts w:asciiTheme="minorHAnsi" w:hAnsiTheme="minorHAnsi" w:cs="Tahoma"/>
          <w:sz w:val="22"/>
          <w:szCs w:val="22"/>
        </w:rPr>
        <w:t>)</w:t>
      </w:r>
      <w:r w:rsidR="00767386" w:rsidRPr="00C9224A">
        <w:rPr>
          <w:rFonts w:asciiTheme="minorHAnsi" w:hAnsiTheme="minorHAnsi" w:cs="Tahoma"/>
          <w:sz w:val="22"/>
          <w:szCs w:val="22"/>
        </w:rPr>
        <w:t>.</w:t>
      </w:r>
    </w:p>
    <w:p w:rsidR="00ED0976" w:rsidRPr="00C9224A" w:rsidRDefault="00ED0976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</w:rPr>
      </w:pPr>
    </w:p>
    <w:p w:rsidR="00BA2F71" w:rsidRPr="00C9224A" w:rsidRDefault="00ED0976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C9224A">
        <w:rPr>
          <w:rFonts w:asciiTheme="minorHAnsi" w:hAnsiTheme="minorHAnsi" w:cs="Tahoma"/>
          <w:sz w:val="22"/>
          <w:szCs w:val="22"/>
          <w:u w:val="single"/>
        </w:rPr>
        <w:t xml:space="preserve">Exceptional Compassionate Grounds </w:t>
      </w:r>
    </w:p>
    <w:p w:rsidR="006008E0" w:rsidRPr="00C9224A" w:rsidRDefault="006008E0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ED0976" w:rsidRPr="00C9224A" w:rsidRDefault="00BA2F71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</w:rPr>
      </w:pPr>
      <w:r w:rsidRPr="00C9224A">
        <w:rPr>
          <w:rFonts w:asciiTheme="minorHAnsi" w:hAnsiTheme="minorHAnsi" w:cs="Tahoma"/>
          <w:sz w:val="22"/>
          <w:szCs w:val="22"/>
        </w:rPr>
        <w:t>Financial hardship alone is not deemed sufficient grounds.  F</w:t>
      </w:r>
      <w:r w:rsidR="00C9224A" w:rsidRPr="00C9224A">
        <w:rPr>
          <w:rFonts w:asciiTheme="minorHAnsi" w:hAnsiTheme="minorHAnsi" w:cs="Tahoma"/>
          <w:sz w:val="22"/>
          <w:szCs w:val="22"/>
        </w:rPr>
        <w:t>or the purposes of this p</w:t>
      </w:r>
      <w:r w:rsidR="00ED0976" w:rsidRPr="00C9224A">
        <w:rPr>
          <w:rFonts w:asciiTheme="minorHAnsi" w:hAnsiTheme="minorHAnsi" w:cs="Tahoma"/>
          <w:sz w:val="22"/>
          <w:szCs w:val="22"/>
        </w:rPr>
        <w:t>olicy</w:t>
      </w:r>
      <w:r w:rsidRPr="00C9224A">
        <w:rPr>
          <w:rFonts w:asciiTheme="minorHAnsi" w:hAnsiTheme="minorHAnsi" w:cs="Tahoma"/>
          <w:sz w:val="22"/>
          <w:szCs w:val="22"/>
        </w:rPr>
        <w:t>, exceptional compassionate grounds are w</w:t>
      </w:r>
      <w:r w:rsidR="00ED0976" w:rsidRPr="00C9224A">
        <w:rPr>
          <w:rFonts w:asciiTheme="minorHAnsi" w:hAnsiTheme="minorHAnsi" w:cs="Tahoma"/>
          <w:sz w:val="22"/>
          <w:szCs w:val="22"/>
        </w:rPr>
        <w:t>here an ex-member has had to give up paid employment</w:t>
      </w:r>
      <w:r w:rsidRPr="00C9224A">
        <w:rPr>
          <w:rFonts w:asciiTheme="minorHAnsi" w:hAnsiTheme="minorHAnsi" w:cs="Tahoma"/>
          <w:sz w:val="22"/>
          <w:szCs w:val="22"/>
        </w:rPr>
        <w:t xml:space="preserve"> </w:t>
      </w:r>
      <w:r w:rsidR="00ED0976" w:rsidRPr="00C9224A">
        <w:rPr>
          <w:rFonts w:asciiTheme="minorHAnsi" w:hAnsiTheme="minorHAnsi" w:cs="Tahoma"/>
          <w:sz w:val="22"/>
          <w:szCs w:val="22"/>
        </w:rPr>
        <w:t xml:space="preserve">to </w:t>
      </w:r>
      <w:r w:rsidRPr="00C9224A">
        <w:rPr>
          <w:rFonts w:asciiTheme="minorHAnsi" w:hAnsiTheme="minorHAnsi" w:cs="Tahoma"/>
          <w:sz w:val="22"/>
          <w:szCs w:val="22"/>
        </w:rPr>
        <w:t xml:space="preserve">be the sole </w:t>
      </w:r>
      <w:r w:rsidR="00ED0976" w:rsidRPr="00C9224A">
        <w:rPr>
          <w:rFonts w:asciiTheme="minorHAnsi" w:hAnsiTheme="minorHAnsi" w:cs="Tahoma"/>
          <w:sz w:val="22"/>
          <w:szCs w:val="22"/>
        </w:rPr>
        <w:t>care</w:t>
      </w:r>
      <w:r w:rsidRPr="00C9224A">
        <w:rPr>
          <w:rFonts w:asciiTheme="minorHAnsi" w:hAnsiTheme="minorHAnsi" w:cs="Tahoma"/>
          <w:sz w:val="22"/>
          <w:szCs w:val="22"/>
        </w:rPr>
        <w:t>r</w:t>
      </w:r>
      <w:r w:rsidR="00ED0976" w:rsidRPr="00C9224A">
        <w:rPr>
          <w:rFonts w:asciiTheme="minorHAnsi" w:hAnsiTheme="minorHAnsi" w:cs="Tahoma"/>
          <w:sz w:val="22"/>
          <w:szCs w:val="22"/>
        </w:rPr>
        <w:t xml:space="preserve"> for a severely disabled or seriously ill dependent</w:t>
      </w:r>
      <w:r w:rsidRPr="00C9224A">
        <w:rPr>
          <w:rFonts w:asciiTheme="minorHAnsi" w:hAnsiTheme="minorHAnsi" w:cs="Tahoma"/>
          <w:sz w:val="22"/>
          <w:szCs w:val="22"/>
        </w:rPr>
        <w:t xml:space="preserve">, and where reasonable additional support is not viable.  </w:t>
      </w:r>
    </w:p>
    <w:p w:rsidR="00ED0976" w:rsidRPr="00C9224A" w:rsidRDefault="00ED0976" w:rsidP="00D96B96">
      <w:pPr>
        <w:tabs>
          <w:tab w:val="left" w:leader="underscore" w:pos="9389"/>
        </w:tabs>
        <w:jc w:val="both"/>
        <w:rPr>
          <w:rFonts w:asciiTheme="minorHAnsi" w:hAnsiTheme="minorHAnsi" w:cs="Tahoma"/>
          <w:sz w:val="22"/>
          <w:szCs w:val="22"/>
        </w:rPr>
      </w:pPr>
    </w:p>
    <w:p w:rsidR="00C1606D" w:rsidRPr="00C9224A" w:rsidRDefault="00C9224A" w:rsidP="00D96B96">
      <w:pPr>
        <w:jc w:val="both"/>
        <w:rPr>
          <w:rFonts w:asciiTheme="minorHAnsi" w:hAnsiTheme="minorHAnsi" w:cs="Tahoma"/>
          <w:sz w:val="22"/>
          <w:szCs w:val="22"/>
        </w:rPr>
      </w:pPr>
      <w:r w:rsidRPr="00C9224A">
        <w:rPr>
          <w:rFonts w:asciiTheme="minorHAnsi" w:hAnsiTheme="minorHAnsi" w:cs="Tahoma"/>
          <w:sz w:val="22"/>
          <w:szCs w:val="22"/>
        </w:rPr>
        <w:t>This p</w:t>
      </w:r>
      <w:r w:rsidR="00BA2F71" w:rsidRPr="00C9224A">
        <w:rPr>
          <w:rFonts w:asciiTheme="minorHAnsi" w:hAnsiTheme="minorHAnsi" w:cs="Tahoma"/>
          <w:sz w:val="22"/>
          <w:szCs w:val="22"/>
        </w:rPr>
        <w:t>o</w:t>
      </w:r>
      <w:r w:rsidR="00C1606D" w:rsidRPr="00C9224A">
        <w:rPr>
          <w:rFonts w:asciiTheme="minorHAnsi" w:hAnsiTheme="minorHAnsi" w:cs="Tahoma"/>
          <w:sz w:val="22"/>
          <w:szCs w:val="22"/>
        </w:rPr>
        <w:t xml:space="preserve">licy </w:t>
      </w:r>
      <w:r w:rsidR="00BA2F71" w:rsidRPr="00C9224A">
        <w:rPr>
          <w:rFonts w:asciiTheme="minorHAnsi" w:hAnsiTheme="minorHAnsi" w:cs="Tahoma"/>
          <w:sz w:val="22"/>
          <w:szCs w:val="22"/>
        </w:rPr>
        <w:t xml:space="preserve">will be </w:t>
      </w:r>
      <w:r w:rsidR="00C1606D" w:rsidRPr="00C9224A">
        <w:rPr>
          <w:rFonts w:asciiTheme="minorHAnsi" w:hAnsiTheme="minorHAnsi" w:cs="Tahoma"/>
          <w:sz w:val="22"/>
          <w:szCs w:val="22"/>
        </w:rPr>
        <w:t xml:space="preserve">kept under review. </w:t>
      </w:r>
    </w:p>
    <w:p w:rsidR="0059001A" w:rsidRPr="007D0ACA" w:rsidRDefault="0059001A" w:rsidP="00D96B96">
      <w:pPr>
        <w:jc w:val="both"/>
        <w:rPr>
          <w:rFonts w:asciiTheme="minorHAnsi" w:hAnsiTheme="minorHAnsi" w:cs="Tahoma"/>
        </w:rPr>
      </w:pPr>
    </w:p>
    <w:p w:rsidR="00375E5C" w:rsidRDefault="00375E5C" w:rsidP="00D96B96">
      <w:pPr>
        <w:jc w:val="both"/>
        <w:rPr>
          <w:rFonts w:ascii="Verdana" w:hAnsi="Verdana" w:cs="Tahoma"/>
        </w:rPr>
      </w:pPr>
    </w:p>
    <w:p w:rsidR="0059001A" w:rsidRDefault="0059001A" w:rsidP="00C1606D">
      <w:pPr>
        <w:rPr>
          <w:rFonts w:ascii="Verdana" w:hAnsi="Verdana" w:cs="Tahoma"/>
        </w:rPr>
      </w:pPr>
    </w:p>
    <w:p w:rsidR="00376750" w:rsidRDefault="00376750">
      <w:pPr>
        <w:spacing w:after="200"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C9224A" w:rsidRDefault="00C9224A" w:rsidP="00C9224A">
      <w:pPr>
        <w:pStyle w:val="NoSpacing"/>
      </w:pPr>
    </w:p>
    <w:p w:rsidR="00ED2507" w:rsidRPr="007119DA" w:rsidRDefault="007119DA" w:rsidP="007119DA">
      <w:pPr>
        <w:pStyle w:val="Heading1"/>
        <w:numPr>
          <w:ilvl w:val="0"/>
          <w:numId w:val="11"/>
        </w:numPr>
        <w:rPr>
          <w:rFonts w:asciiTheme="minorHAnsi" w:hAnsiTheme="minorHAnsi"/>
          <w:color w:val="auto"/>
        </w:rPr>
      </w:pPr>
      <w:bookmarkStart w:id="2" w:name="_Toc392744605"/>
      <w:r>
        <w:rPr>
          <w:rFonts w:asciiTheme="minorHAnsi" w:hAnsiTheme="minorHAnsi"/>
          <w:color w:val="auto"/>
        </w:rPr>
        <w:t xml:space="preserve"> </w:t>
      </w:r>
      <w:r w:rsidR="00ED2507" w:rsidRPr="007119DA">
        <w:rPr>
          <w:rFonts w:asciiTheme="minorHAnsi" w:hAnsiTheme="minorHAnsi"/>
          <w:color w:val="auto"/>
        </w:rPr>
        <w:t>Employer Discretions - Local Government Pension Scheme Regulations 201</w:t>
      </w:r>
      <w:r w:rsidR="00784C4E" w:rsidRPr="007119DA">
        <w:rPr>
          <w:rFonts w:asciiTheme="minorHAnsi" w:hAnsiTheme="minorHAnsi"/>
          <w:color w:val="auto"/>
        </w:rPr>
        <w:t>3</w:t>
      </w:r>
      <w:bookmarkEnd w:id="2"/>
    </w:p>
    <w:p w:rsidR="00375E5C" w:rsidRPr="00375E5C" w:rsidRDefault="00375E5C" w:rsidP="00ED2507">
      <w:pPr>
        <w:jc w:val="center"/>
        <w:rPr>
          <w:rFonts w:ascii="Verdana" w:hAnsi="Verdana" w:cs="Tahoma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891"/>
        <w:gridCol w:w="1829"/>
        <w:gridCol w:w="7909"/>
      </w:tblGrid>
      <w:tr w:rsidR="00375E5C" w:rsidRPr="00A52649" w:rsidTr="007119DA">
        <w:tc>
          <w:tcPr>
            <w:tcW w:w="675" w:type="dxa"/>
          </w:tcPr>
          <w:p w:rsidR="00375E5C" w:rsidRPr="007D0ACA" w:rsidRDefault="00375E5C" w:rsidP="00D275E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375E5C" w:rsidRPr="007D0ACA" w:rsidRDefault="00375E5C" w:rsidP="007119D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b/>
                <w:sz w:val="22"/>
                <w:szCs w:val="22"/>
              </w:rPr>
              <w:t>Discretion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75E5C" w:rsidRPr="007D0ACA" w:rsidRDefault="00375E5C" w:rsidP="007119D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b/>
                <w:sz w:val="22"/>
                <w:szCs w:val="22"/>
              </w:rPr>
              <w:t>Regulation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375E5C" w:rsidRPr="007D0ACA" w:rsidRDefault="00375E5C" w:rsidP="007119D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b/>
                <w:sz w:val="22"/>
                <w:szCs w:val="22"/>
              </w:rPr>
              <w:t>Employer Policy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7D0ACA" w:rsidRDefault="00476BA7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2</w:t>
            </w:r>
            <w:r w:rsidR="00375E5C" w:rsidRPr="007D0AC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962" w:type="dxa"/>
          </w:tcPr>
          <w:p w:rsidR="00375E5C" w:rsidRPr="007D0ACA" w:rsidRDefault="00375E5C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Whether, how much, and in what circumstances to contribute to a shared cost A</w:t>
            </w:r>
            <w:r w:rsidR="00D96B96" w:rsidRPr="007D0ACA">
              <w:rPr>
                <w:rFonts w:asciiTheme="minorHAnsi" w:hAnsiTheme="minorHAnsi"/>
                <w:sz w:val="22"/>
                <w:szCs w:val="22"/>
              </w:rPr>
              <w:t xml:space="preserve">dditional 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>P</w:t>
            </w:r>
            <w:r w:rsidR="00D96B96" w:rsidRPr="007D0ACA">
              <w:rPr>
                <w:rFonts w:asciiTheme="minorHAnsi" w:hAnsiTheme="minorHAnsi"/>
                <w:sz w:val="22"/>
                <w:szCs w:val="22"/>
              </w:rPr>
              <w:t xml:space="preserve">ension 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>C</w:t>
            </w:r>
            <w:r w:rsidR="00D96B96" w:rsidRPr="007D0ACA">
              <w:rPr>
                <w:rFonts w:asciiTheme="minorHAnsi" w:hAnsiTheme="minorHAnsi"/>
                <w:sz w:val="22"/>
                <w:szCs w:val="22"/>
              </w:rPr>
              <w:t>ontribution (“APC”)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or A</w:t>
            </w:r>
            <w:r w:rsidR="00D96B96" w:rsidRPr="007D0ACA">
              <w:rPr>
                <w:rFonts w:asciiTheme="minorHAnsi" w:hAnsiTheme="minorHAnsi"/>
                <w:sz w:val="22"/>
                <w:szCs w:val="22"/>
              </w:rPr>
              <w:t>dditional Voluntary Contribution (“AVC)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scheme.</w:t>
            </w:r>
          </w:p>
        </w:tc>
        <w:tc>
          <w:tcPr>
            <w:tcW w:w="1842" w:type="dxa"/>
          </w:tcPr>
          <w:p w:rsidR="00375E5C" w:rsidRPr="007D0ACA" w:rsidRDefault="00375E5C" w:rsidP="00D275E3">
            <w:pPr>
              <w:tabs>
                <w:tab w:val="left" w:pos="1939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R16(2)(e) &amp; R16(4)(d)</w:t>
            </w:r>
          </w:p>
          <w:p w:rsidR="00375E5C" w:rsidRPr="007D0ACA" w:rsidRDefault="00375E5C" w:rsidP="00D275E3">
            <w:pPr>
              <w:tabs>
                <w:tab w:val="left" w:pos="1939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R17(1)</w:t>
            </w:r>
          </w:p>
          <w:p w:rsidR="00375E5C" w:rsidRPr="007D0ACA" w:rsidRDefault="00375E5C" w:rsidP="00D275E3">
            <w:pPr>
              <w:tabs>
                <w:tab w:val="left" w:pos="1939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R15(1)(d)</w:t>
            </w:r>
          </w:p>
        </w:tc>
        <w:tc>
          <w:tcPr>
            <w:tcW w:w="8046" w:type="dxa"/>
          </w:tcPr>
          <w:p w:rsidR="00375E5C" w:rsidRPr="007D0ACA" w:rsidRDefault="007A46A1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consider contributing to a shared cost APC or AVC scheme. </w:t>
            </w:r>
          </w:p>
          <w:p w:rsidR="00375E5C" w:rsidRPr="007D0ACA" w:rsidRDefault="00375E5C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NB the Academy will contribute, as required, where an employee chooses within 30 days, to purchase pension following a period of authorised unpaid leave of absence.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7D0ACA" w:rsidRDefault="00476BA7" w:rsidP="00C9224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4962" w:type="dxa"/>
          </w:tcPr>
          <w:p w:rsidR="00375E5C" w:rsidRPr="007D0ACA" w:rsidRDefault="00375E5C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Whether all or some benefits can be paid if an employee reduces their hours or grade (flexible retirement).</w:t>
            </w:r>
          </w:p>
        </w:tc>
        <w:tc>
          <w:tcPr>
            <w:tcW w:w="1842" w:type="dxa"/>
          </w:tcPr>
          <w:p w:rsidR="00375E5C" w:rsidRPr="007D0ACA" w:rsidRDefault="00375E5C" w:rsidP="00D275E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R30(6) &amp; TP11(2)</w:t>
            </w:r>
          </w:p>
        </w:tc>
        <w:tc>
          <w:tcPr>
            <w:tcW w:w="8046" w:type="dxa"/>
          </w:tcPr>
          <w:p w:rsidR="00375E5C" w:rsidRPr="007D0ACA" w:rsidRDefault="007A46A1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consent to the payment of benefits on flexible retirement if, with consent, a member permanently reduces their hours by at least 25% or one grade.</w:t>
            </w:r>
            <w:r w:rsidR="00B776E0" w:rsidRPr="007D0ACA">
              <w:rPr>
                <w:rFonts w:asciiTheme="minorHAnsi" w:hAnsiTheme="minorHAnsi" w:cs="Tahoma"/>
                <w:sz w:val="22"/>
                <w:szCs w:val="22"/>
              </w:rPr>
              <w:t xml:space="preserve">  Application </w:t>
            </w:r>
            <w:r w:rsidR="00D96B96" w:rsidRPr="007D0ACA">
              <w:rPr>
                <w:rFonts w:asciiTheme="minorHAnsi" w:hAnsiTheme="minorHAnsi" w:cs="Tahoma"/>
                <w:sz w:val="22"/>
                <w:szCs w:val="22"/>
              </w:rPr>
              <w:t xml:space="preserve">form attached </w:t>
            </w:r>
            <w:r w:rsidR="00B776E0" w:rsidRPr="007D0ACA">
              <w:rPr>
                <w:rFonts w:asciiTheme="minorHAnsi" w:hAnsiTheme="minorHAnsi" w:cs="Tahoma"/>
                <w:sz w:val="22"/>
                <w:szCs w:val="22"/>
              </w:rPr>
              <w:t>at Appendix A</w:t>
            </w:r>
            <w:r w:rsidR="00D96B96" w:rsidRPr="007D0ACA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7D0ACA" w:rsidRDefault="00476BA7" w:rsidP="00C9224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>c</w:t>
            </w:r>
          </w:p>
        </w:tc>
        <w:tc>
          <w:tcPr>
            <w:tcW w:w="4962" w:type="dxa"/>
          </w:tcPr>
          <w:p w:rsidR="00375E5C" w:rsidRPr="007D0ACA" w:rsidRDefault="00375E5C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Whether to waive, in whole or in part, actuarial reduction on benefits paid on flexible retirement.</w:t>
            </w:r>
          </w:p>
        </w:tc>
        <w:tc>
          <w:tcPr>
            <w:tcW w:w="1842" w:type="dxa"/>
          </w:tcPr>
          <w:p w:rsidR="00375E5C" w:rsidRPr="007D0ACA" w:rsidRDefault="00375E5C" w:rsidP="00D275E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R30(8)</w:t>
            </w:r>
          </w:p>
        </w:tc>
        <w:tc>
          <w:tcPr>
            <w:tcW w:w="8046" w:type="dxa"/>
          </w:tcPr>
          <w:p w:rsidR="00375E5C" w:rsidRPr="007D0ACA" w:rsidRDefault="007A46A1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consider waiving actuarial reductions on a flexible retirement.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7D0ACA" w:rsidRDefault="00476BA7" w:rsidP="00C9224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>d</w:t>
            </w:r>
          </w:p>
        </w:tc>
        <w:tc>
          <w:tcPr>
            <w:tcW w:w="4962" w:type="dxa"/>
          </w:tcPr>
          <w:p w:rsidR="00375E5C" w:rsidRPr="007D0ACA" w:rsidRDefault="00375E5C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Whether to waive, in whole or in part, actuarial reduction on benefits which a member voluntarily draws before normal pension age.</w:t>
            </w:r>
          </w:p>
        </w:tc>
        <w:tc>
          <w:tcPr>
            <w:tcW w:w="1842" w:type="dxa"/>
          </w:tcPr>
          <w:p w:rsidR="00375E5C" w:rsidRPr="007D0ACA" w:rsidRDefault="00375E5C" w:rsidP="00D275E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R30(8)</w:t>
            </w:r>
          </w:p>
        </w:tc>
        <w:tc>
          <w:tcPr>
            <w:tcW w:w="8046" w:type="dxa"/>
          </w:tcPr>
          <w:p w:rsidR="00375E5C" w:rsidRPr="007D0ACA" w:rsidRDefault="007A46A1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consider waiving actuarial reductions on a retirement before normal pension age.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7D0ACA" w:rsidRDefault="00476BA7" w:rsidP="00C9224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4962" w:type="dxa"/>
          </w:tcPr>
          <w:p w:rsidR="00375E5C" w:rsidRPr="007D0ACA" w:rsidRDefault="00375E5C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Whether to “switch on” the 85 year rule for a member voluntarily drawing benefits on or after age 55 and before age 60.</w:t>
            </w:r>
          </w:p>
        </w:tc>
        <w:tc>
          <w:tcPr>
            <w:tcW w:w="1842" w:type="dxa"/>
          </w:tcPr>
          <w:p w:rsidR="00375E5C" w:rsidRPr="007D0ACA" w:rsidRDefault="00375E5C" w:rsidP="00FF0960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7D0ACA">
              <w:rPr>
                <w:rFonts w:asciiTheme="minorHAnsi" w:hAnsiTheme="minorHAnsi" w:cs="Tahoma"/>
                <w:sz w:val="22"/>
                <w:szCs w:val="22"/>
              </w:rPr>
              <w:t>TPSch</w:t>
            </w:r>
            <w:proofErr w:type="spellEnd"/>
            <w:r w:rsidRPr="007D0ACA">
              <w:rPr>
                <w:rFonts w:asciiTheme="minorHAnsi" w:hAnsiTheme="minorHAnsi" w:cs="Tahoma"/>
                <w:sz w:val="22"/>
                <w:szCs w:val="22"/>
              </w:rPr>
              <w:t xml:space="preserve"> 2, paras 1(2) and 2(2)</w:t>
            </w:r>
          </w:p>
        </w:tc>
        <w:tc>
          <w:tcPr>
            <w:tcW w:w="8046" w:type="dxa"/>
          </w:tcPr>
          <w:p w:rsidR="00375E5C" w:rsidRPr="007D0ACA" w:rsidRDefault="007A46A1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consider “switching on” the 85 year rule for a member voluntarily drawing benefits on or after age 55 and before age 60.</w:t>
            </w:r>
          </w:p>
          <w:p w:rsidR="00375E5C" w:rsidRPr="007D0ACA" w:rsidRDefault="00375E5C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7D0AC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2</w:t>
            </w:r>
            <w:r w:rsidR="00375E5C" w:rsidRPr="007D0AC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4962" w:type="dxa"/>
          </w:tcPr>
          <w:p w:rsidR="00375E5C" w:rsidRPr="007D0ACA" w:rsidRDefault="00375E5C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Whether to waive any actuarial reduction on pre and/or post April 2014 benefits.</w:t>
            </w:r>
          </w:p>
        </w:tc>
        <w:tc>
          <w:tcPr>
            <w:tcW w:w="1842" w:type="dxa"/>
          </w:tcPr>
          <w:p w:rsidR="00375E5C" w:rsidRPr="007D0ACA" w:rsidRDefault="00375E5C" w:rsidP="00DD0AF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 xml:space="preserve">TP3(1), </w:t>
            </w:r>
            <w:proofErr w:type="spellStart"/>
            <w:r w:rsidRPr="007D0ACA">
              <w:rPr>
                <w:rFonts w:asciiTheme="minorHAnsi" w:hAnsiTheme="minorHAnsi" w:cs="Tahoma"/>
                <w:sz w:val="22"/>
                <w:szCs w:val="22"/>
              </w:rPr>
              <w:t>TPSch</w:t>
            </w:r>
            <w:proofErr w:type="spellEnd"/>
            <w:r w:rsidRPr="007D0ACA">
              <w:rPr>
                <w:rFonts w:asciiTheme="minorHAnsi" w:hAnsiTheme="minorHAnsi" w:cs="Tahoma"/>
                <w:sz w:val="22"/>
                <w:szCs w:val="22"/>
              </w:rPr>
              <w:t xml:space="preserve"> 2, paras 2(1) and 2(2), B30(5) and B30A(5)</w:t>
            </w:r>
          </w:p>
        </w:tc>
        <w:tc>
          <w:tcPr>
            <w:tcW w:w="8046" w:type="dxa"/>
          </w:tcPr>
          <w:p w:rsidR="00375E5C" w:rsidRPr="007D0ACA" w:rsidRDefault="007A46A1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consider waiving actuarial reductions on pre and or post 2014 benefits.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7D0AC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2</w:t>
            </w:r>
            <w:r w:rsidR="00375E5C" w:rsidRPr="007D0ACA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4962" w:type="dxa"/>
          </w:tcPr>
          <w:p w:rsidR="00375E5C" w:rsidRPr="007D0ACA" w:rsidRDefault="00375E5C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Whether to grant additional pension to an active member or within 6 months of ceasing to be an active member by reason of redundancy or business efficiency (by up to £6,500.00 p. a.).</w:t>
            </w:r>
          </w:p>
        </w:tc>
        <w:tc>
          <w:tcPr>
            <w:tcW w:w="1842" w:type="dxa"/>
          </w:tcPr>
          <w:p w:rsidR="00375E5C" w:rsidRPr="007D0ACA" w:rsidRDefault="00375E5C" w:rsidP="00D275E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R31</w:t>
            </w:r>
          </w:p>
        </w:tc>
        <w:tc>
          <w:tcPr>
            <w:tcW w:w="8046" w:type="dxa"/>
          </w:tcPr>
          <w:p w:rsidR="00375E5C" w:rsidRPr="007D0ACA" w:rsidRDefault="007A46A1" w:rsidP="00476BA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375E5C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consider granting additional pension to a member ceasing to be an active member by reason of redundancy or business efficiency.</w:t>
            </w:r>
          </w:p>
        </w:tc>
      </w:tr>
    </w:tbl>
    <w:p w:rsidR="00C9224A" w:rsidRDefault="00E3228B" w:rsidP="00C9224A">
      <w:pPr>
        <w:pStyle w:val="Heading1"/>
        <w:rPr>
          <w:u w:val="single"/>
        </w:rPr>
      </w:pPr>
      <w:r w:rsidRPr="00ED0976">
        <w:rPr>
          <w:u w:val="single"/>
        </w:rPr>
        <w:br w:type="page"/>
      </w:r>
      <w:bookmarkStart w:id="3" w:name="_Toc392744606"/>
    </w:p>
    <w:p w:rsidR="00C9224A" w:rsidRDefault="00C9224A" w:rsidP="00C9224A">
      <w:pPr>
        <w:pStyle w:val="Heading1"/>
        <w:rPr>
          <w:u w:val="single"/>
        </w:rPr>
      </w:pPr>
    </w:p>
    <w:p w:rsidR="00ED2507" w:rsidRPr="007D0ACA" w:rsidRDefault="00C9224A" w:rsidP="00C9224A">
      <w:pPr>
        <w:pStyle w:val="Heading1"/>
        <w:rPr>
          <w:rFonts w:asciiTheme="minorHAnsi" w:hAnsiTheme="minorHAnsi"/>
        </w:rPr>
      </w:pPr>
      <w:r w:rsidRPr="00C9224A">
        <w:rPr>
          <w:rFonts w:asciiTheme="minorHAnsi" w:hAnsiTheme="minorHAnsi"/>
          <w:color w:val="auto"/>
        </w:rPr>
        <w:t xml:space="preserve">3.0 </w:t>
      </w:r>
      <w:r w:rsidR="00ED2507" w:rsidRPr="00C9224A">
        <w:rPr>
          <w:rFonts w:asciiTheme="minorHAnsi" w:hAnsiTheme="minorHAnsi"/>
          <w:color w:val="auto"/>
        </w:rPr>
        <w:t>Additional Employer Discretions – LGPS</w:t>
      </w:r>
      <w:r w:rsidR="00FF1AEC" w:rsidRPr="00C9224A">
        <w:rPr>
          <w:rFonts w:asciiTheme="minorHAnsi" w:hAnsiTheme="minorHAnsi"/>
          <w:color w:val="auto"/>
        </w:rPr>
        <w:t xml:space="preserve"> Reg</w:t>
      </w:r>
      <w:r w:rsidR="00ED2507" w:rsidRPr="00C9224A">
        <w:rPr>
          <w:rFonts w:asciiTheme="minorHAnsi" w:hAnsiTheme="minorHAnsi"/>
          <w:color w:val="auto"/>
        </w:rPr>
        <w:t>ulations 201</w:t>
      </w:r>
      <w:r w:rsidR="00784C4E" w:rsidRPr="00C9224A">
        <w:rPr>
          <w:rFonts w:asciiTheme="minorHAnsi" w:hAnsiTheme="minorHAnsi"/>
          <w:color w:val="auto"/>
        </w:rPr>
        <w:t>3</w:t>
      </w:r>
      <w:bookmarkEnd w:id="3"/>
    </w:p>
    <w:p w:rsidR="00D31D02" w:rsidRPr="00D31D02" w:rsidRDefault="00D31D02" w:rsidP="00D31D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4892"/>
        <w:gridCol w:w="1830"/>
        <w:gridCol w:w="7906"/>
      </w:tblGrid>
      <w:tr w:rsidR="00375E5C" w:rsidRPr="00A52649" w:rsidTr="007119DA">
        <w:tc>
          <w:tcPr>
            <w:tcW w:w="675" w:type="dxa"/>
          </w:tcPr>
          <w:p w:rsidR="00375E5C" w:rsidRPr="007D0ACA" w:rsidRDefault="00375E5C" w:rsidP="00D275E3">
            <w:pPr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375E5C" w:rsidRPr="007D0ACA" w:rsidRDefault="00375E5C" w:rsidP="007119DA">
            <w:pPr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7D0ACA">
              <w:rPr>
                <w:rFonts w:asciiTheme="minorHAnsi" w:hAnsiTheme="minorHAnsi" w:cs="Tahoma"/>
                <w:b/>
                <w:szCs w:val="24"/>
              </w:rPr>
              <w:t>Discretion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75E5C" w:rsidRPr="007D0ACA" w:rsidRDefault="00375E5C" w:rsidP="007119DA">
            <w:pPr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7D0ACA">
              <w:rPr>
                <w:rFonts w:asciiTheme="minorHAnsi" w:hAnsiTheme="minorHAnsi" w:cs="Tahoma"/>
                <w:b/>
                <w:szCs w:val="24"/>
              </w:rPr>
              <w:t>Regulation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375E5C" w:rsidRPr="007D0ACA" w:rsidRDefault="00375E5C" w:rsidP="007119DA">
            <w:pPr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7D0ACA">
              <w:rPr>
                <w:rFonts w:asciiTheme="minorHAnsi" w:hAnsiTheme="minorHAnsi" w:cs="Tahoma"/>
                <w:b/>
                <w:szCs w:val="24"/>
              </w:rPr>
              <w:t>Employer Policy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Determine rate of employee’s contributions</w:t>
            </w:r>
          </w:p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5E5C" w:rsidRPr="00C9224A" w:rsidRDefault="00375E5C" w:rsidP="00D275E3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R9(1) 7 R9(3)</w:t>
            </w:r>
          </w:p>
        </w:tc>
        <w:tc>
          <w:tcPr>
            <w:tcW w:w="8046" w:type="dxa"/>
          </w:tcPr>
          <w:p w:rsidR="00375E5C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6008E0" w:rsidRPr="00C9224A">
              <w:rPr>
                <w:rFonts w:asciiTheme="minorHAnsi" w:hAnsiTheme="minorHAnsi"/>
                <w:sz w:val="22"/>
                <w:szCs w:val="22"/>
              </w:rPr>
              <w:t xml:space="preserve"> and Essex Payroll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 xml:space="preserve"> will allocate employees to a contribution band on 1 April, following an assessment of their previous years’ earnings.  New staff will be allocated a contribution band on the basis of their contracted salary.</w:t>
            </w:r>
          </w:p>
          <w:p w:rsidR="00375E5C" w:rsidRPr="00C9224A" w:rsidRDefault="00375E5C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The allocation of a contribution band will not be reviewed during the year.</w:t>
            </w:r>
          </w:p>
          <w:p w:rsidR="00476BA7" w:rsidRPr="00C9224A" w:rsidRDefault="00476BA7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In determining Assumed Pensionable Pay, whether a lump sum payment made in the previous 12 months is a “regular lump sum”</w:t>
            </w:r>
          </w:p>
        </w:tc>
        <w:tc>
          <w:tcPr>
            <w:tcW w:w="1842" w:type="dxa"/>
          </w:tcPr>
          <w:p w:rsidR="00375E5C" w:rsidRPr="00C9224A" w:rsidRDefault="00375E5C" w:rsidP="00D275E3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R21(5)</w:t>
            </w:r>
          </w:p>
        </w:tc>
        <w:tc>
          <w:tcPr>
            <w:tcW w:w="8046" w:type="dxa"/>
          </w:tcPr>
          <w:p w:rsidR="00375E5C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 xml:space="preserve"> will determine that a bonus paid in a previous year is not a regular payment for the purposes of calculating AAP.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 xml:space="preserve">Extend </w:t>
            </w:r>
            <w:r w:rsidR="00476BA7" w:rsidRPr="00C9224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C9224A">
              <w:rPr>
                <w:rFonts w:asciiTheme="minorHAnsi" w:hAnsiTheme="minorHAnsi"/>
                <w:sz w:val="22"/>
                <w:szCs w:val="22"/>
              </w:rPr>
              <w:t>12 month time limit for acceptance of a transfer value</w:t>
            </w:r>
          </w:p>
        </w:tc>
        <w:tc>
          <w:tcPr>
            <w:tcW w:w="1842" w:type="dxa"/>
          </w:tcPr>
          <w:p w:rsidR="00375E5C" w:rsidRPr="00C9224A" w:rsidRDefault="00375E5C" w:rsidP="00D275E3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R100(68)</w:t>
            </w:r>
          </w:p>
        </w:tc>
        <w:tc>
          <w:tcPr>
            <w:tcW w:w="8046" w:type="dxa"/>
          </w:tcPr>
          <w:p w:rsidR="00375E5C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 xml:space="preserve"> will not extend the time limit for acceptance of a transfer value, other than in exceptional circumstances where the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 processing of the 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election was delayed, other than by the employee.</w:t>
            </w:r>
          </w:p>
          <w:p w:rsidR="00375E5C" w:rsidRPr="00C9224A" w:rsidRDefault="00375E5C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 xml:space="preserve">Extend </w:t>
            </w:r>
            <w:r w:rsidR="00476BA7" w:rsidRPr="00C9224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C9224A">
              <w:rPr>
                <w:rFonts w:asciiTheme="minorHAnsi" w:hAnsiTheme="minorHAnsi"/>
                <w:sz w:val="22"/>
                <w:szCs w:val="22"/>
              </w:rPr>
              <w:t>12 month time limit for acceptance of a request not to have deferred benefits aggregated with their new or concurrent LGPS employment</w:t>
            </w:r>
          </w:p>
        </w:tc>
        <w:tc>
          <w:tcPr>
            <w:tcW w:w="1842" w:type="dxa"/>
          </w:tcPr>
          <w:p w:rsidR="00375E5C" w:rsidRPr="00C9224A" w:rsidRDefault="00375E5C" w:rsidP="00D275E3">
            <w:pPr>
              <w:tabs>
                <w:tab w:val="left" w:pos="1939"/>
              </w:tabs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R22(8)(b), R22(7)(b)</w:t>
            </w:r>
          </w:p>
        </w:tc>
        <w:tc>
          <w:tcPr>
            <w:tcW w:w="8046" w:type="dxa"/>
          </w:tcPr>
          <w:p w:rsidR="00375E5C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 xml:space="preserve"> will not extend the time limit for acceptance of a request not to have deferred benefits aggregated with their new or concurrent LGPS employment, other than in exceptional circumstances where 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processing of 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the election was delayed, other than by the employee.</w:t>
            </w:r>
          </w:p>
          <w:p w:rsidR="00476BA7" w:rsidRPr="00C9224A" w:rsidRDefault="00476BA7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Which employees to nominate for membership (admission bodies only)</w:t>
            </w:r>
          </w:p>
        </w:tc>
        <w:tc>
          <w:tcPr>
            <w:tcW w:w="1842" w:type="dxa"/>
          </w:tcPr>
          <w:p w:rsidR="00375E5C" w:rsidRPr="00C9224A" w:rsidRDefault="00375E5C" w:rsidP="00D275E3">
            <w:pPr>
              <w:tabs>
                <w:tab w:val="left" w:pos="1939"/>
              </w:tabs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R3(1)(c) &amp; R4(2) (b)</w:t>
            </w:r>
          </w:p>
        </w:tc>
        <w:tc>
          <w:tcPr>
            <w:tcW w:w="8046" w:type="dxa"/>
          </w:tcPr>
          <w:p w:rsidR="00375E5C" w:rsidRPr="00C9224A" w:rsidRDefault="00375E5C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 xml:space="preserve">Determine whether a deferred beneficiary meets the criteria for ill health pension benefits </w:t>
            </w:r>
          </w:p>
        </w:tc>
        <w:tc>
          <w:tcPr>
            <w:tcW w:w="1842" w:type="dxa"/>
          </w:tcPr>
          <w:p w:rsidR="00375E5C" w:rsidRPr="00C9224A" w:rsidRDefault="00375E5C" w:rsidP="00026395">
            <w:pPr>
              <w:tabs>
                <w:tab w:val="left" w:pos="1939"/>
              </w:tabs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R38(3)</w:t>
            </w:r>
          </w:p>
        </w:tc>
        <w:tc>
          <w:tcPr>
            <w:tcW w:w="8046" w:type="dxa"/>
          </w:tcPr>
          <w:p w:rsidR="00375E5C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 xml:space="preserve"> will determine in line with the medical assessment as determined on the ill health certificate.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Decide to suspend Tier 3 benefit where member is likely to be capable of undertaking gainful employment</w:t>
            </w:r>
          </w:p>
        </w:tc>
        <w:tc>
          <w:tcPr>
            <w:tcW w:w="1842" w:type="dxa"/>
          </w:tcPr>
          <w:p w:rsidR="00375E5C" w:rsidRPr="00C9224A" w:rsidRDefault="00375E5C" w:rsidP="00DD3647">
            <w:pPr>
              <w:tabs>
                <w:tab w:val="left" w:pos="1939"/>
              </w:tabs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R38(6)</w:t>
            </w:r>
          </w:p>
        </w:tc>
        <w:tc>
          <w:tcPr>
            <w:tcW w:w="8046" w:type="dxa"/>
          </w:tcPr>
          <w:p w:rsidR="00375E5C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 xml:space="preserve"> will determine in line with the medical assessment as determined on the ill health certificate.</w:t>
            </w:r>
          </w:p>
        </w:tc>
      </w:tr>
      <w:tr w:rsidR="00375E5C" w:rsidTr="00C9224A">
        <w:tc>
          <w:tcPr>
            <w:tcW w:w="675" w:type="dxa"/>
            <w:vAlign w:val="center"/>
          </w:tcPr>
          <w:p w:rsidR="00375E5C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3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4962" w:type="dxa"/>
          </w:tcPr>
          <w:p w:rsidR="00375E5C" w:rsidRPr="00C9224A" w:rsidRDefault="00375E5C" w:rsidP="00476BA7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Recover any overpayment of Tier3 ill health pension following commencement of gainful employment</w:t>
            </w:r>
          </w:p>
        </w:tc>
        <w:tc>
          <w:tcPr>
            <w:tcW w:w="1842" w:type="dxa"/>
          </w:tcPr>
          <w:p w:rsidR="00375E5C" w:rsidRPr="00C9224A" w:rsidRDefault="00375E5C" w:rsidP="00D275E3">
            <w:pPr>
              <w:tabs>
                <w:tab w:val="left" w:pos="1939"/>
              </w:tabs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R37(3)</w:t>
            </w:r>
          </w:p>
        </w:tc>
        <w:tc>
          <w:tcPr>
            <w:tcW w:w="8046" w:type="dxa"/>
          </w:tcPr>
          <w:p w:rsidR="00375E5C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375E5C" w:rsidRPr="00C9224A">
              <w:rPr>
                <w:rFonts w:asciiTheme="minorHAnsi" w:hAnsiTheme="minorHAnsi"/>
                <w:sz w:val="22"/>
                <w:szCs w:val="22"/>
              </w:rPr>
              <w:t xml:space="preserve"> will seek to recover any overpayment where a Tier3 pension has been paid after gainful employment has commenced.</w:t>
            </w:r>
          </w:p>
          <w:p w:rsidR="00B30C59" w:rsidRPr="00C9224A" w:rsidRDefault="00B30C59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224A" w:rsidRDefault="00C9224A" w:rsidP="00D31D02">
      <w:pPr>
        <w:pStyle w:val="Heading1"/>
        <w:rPr>
          <w:rFonts w:asciiTheme="minorHAnsi" w:hAnsiTheme="minorHAnsi"/>
          <w:color w:val="auto"/>
        </w:rPr>
      </w:pPr>
      <w:bookmarkStart w:id="4" w:name="_Toc392744607"/>
    </w:p>
    <w:p w:rsidR="00DD3647" w:rsidRPr="007119DA" w:rsidRDefault="00A134BD" w:rsidP="00D31D02">
      <w:pPr>
        <w:pStyle w:val="Heading1"/>
        <w:rPr>
          <w:rFonts w:asciiTheme="minorHAnsi" w:hAnsiTheme="minorHAnsi"/>
          <w:color w:val="auto"/>
        </w:rPr>
      </w:pPr>
      <w:r w:rsidRPr="007119DA">
        <w:rPr>
          <w:rFonts w:asciiTheme="minorHAnsi" w:hAnsiTheme="minorHAnsi"/>
          <w:color w:val="auto"/>
        </w:rPr>
        <w:t>4</w:t>
      </w:r>
      <w:r w:rsidR="00ED0976" w:rsidRPr="007119DA">
        <w:rPr>
          <w:rFonts w:asciiTheme="minorHAnsi" w:hAnsiTheme="minorHAnsi"/>
          <w:color w:val="auto"/>
        </w:rPr>
        <w:t>.</w:t>
      </w:r>
      <w:r w:rsidR="007119DA">
        <w:rPr>
          <w:rFonts w:asciiTheme="minorHAnsi" w:hAnsiTheme="minorHAnsi"/>
          <w:color w:val="auto"/>
        </w:rPr>
        <w:t>0</w:t>
      </w:r>
      <w:r w:rsidR="00ED0976" w:rsidRPr="007119DA">
        <w:rPr>
          <w:rFonts w:asciiTheme="minorHAnsi" w:hAnsiTheme="minorHAnsi"/>
          <w:color w:val="auto"/>
        </w:rPr>
        <w:t xml:space="preserve"> </w:t>
      </w:r>
      <w:r w:rsidR="00DD3647" w:rsidRPr="007119DA">
        <w:rPr>
          <w:rFonts w:asciiTheme="minorHAnsi" w:hAnsiTheme="minorHAnsi"/>
          <w:color w:val="auto"/>
        </w:rPr>
        <w:t>Employer Discretions - Local Government Pension Scheme (Administration) Regulations 2008</w:t>
      </w:r>
      <w:bookmarkEnd w:id="4"/>
    </w:p>
    <w:p w:rsidR="00DD3647" w:rsidRDefault="00DD3647" w:rsidP="00DD3647">
      <w:pPr>
        <w:rPr>
          <w:rFonts w:ascii="Verdana" w:hAnsi="Verdana"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890"/>
        <w:gridCol w:w="1830"/>
        <w:gridCol w:w="7909"/>
      </w:tblGrid>
      <w:tr w:rsidR="00ED0976" w:rsidRPr="00A52649" w:rsidTr="007119DA">
        <w:tc>
          <w:tcPr>
            <w:tcW w:w="675" w:type="dxa"/>
          </w:tcPr>
          <w:p w:rsidR="00ED0976" w:rsidRPr="007D0ACA" w:rsidRDefault="00ED0976" w:rsidP="00D275E3">
            <w:pPr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ED0976" w:rsidRPr="007D0ACA" w:rsidRDefault="00ED0976" w:rsidP="007119DA">
            <w:pPr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7D0ACA">
              <w:rPr>
                <w:rFonts w:asciiTheme="minorHAnsi" w:hAnsiTheme="minorHAnsi" w:cs="Tahoma"/>
                <w:b/>
                <w:szCs w:val="24"/>
              </w:rPr>
              <w:t>Discretion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D0976" w:rsidRPr="007D0ACA" w:rsidRDefault="00ED0976" w:rsidP="007119DA">
            <w:pPr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7D0ACA">
              <w:rPr>
                <w:rFonts w:asciiTheme="minorHAnsi" w:hAnsiTheme="minorHAnsi" w:cs="Tahoma"/>
                <w:b/>
                <w:szCs w:val="24"/>
              </w:rPr>
              <w:t>Regulation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ED0976" w:rsidRPr="007D0ACA" w:rsidRDefault="00ED0976" w:rsidP="007119DA">
            <w:pPr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7D0ACA">
              <w:rPr>
                <w:rFonts w:asciiTheme="minorHAnsi" w:hAnsiTheme="minorHAnsi" w:cs="Tahoma"/>
                <w:b/>
                <w:szCs w:val="24"/>
              </w:rPr>
              <w:t>Employer Policy</w:t>
            </w:r>
          </w:p>
        </w:tc>
      </w:tr>
      <w:tr w:rsidR="00ED0976" w:rsidTr="00C9224A">
        <w:tc>
          <w:tcPr>
            <w:tcW w:w="675" w:type="dxa"/>
            <w:vAlign w:val="center"/>
          </w:tcPr>
          <w:p w:rsidR="00ED0976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4</w:t>
            </w:r>
            <w:r w:rsidR="00BA2F71" w:rsidRPr="00C92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962" w:type="dxa"/>
          </w:tcPr>
          <w:p w:rsidR="00ED0976" w:rsidRPr="00C9224A" w:rsidRDefault="00ED0976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Whether to grant application for early payment of deferred benefits on or after age 55 and before age 60.</w:t>
            </w:r>
          </w:p>
        </w:tc>
        <w:tc>
          <w:tcPr>
            <w:tcW w:w="1842" w:type="dxa"/>
          </w:tcPr>
          <w:p w:rsidR="00ED0976" w:rsidRPr="00C9224A" w:rsidRDefault="00ED0976" w:rsidP="00D275E3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B30(2)</w:t>
            </w:r>
          </w:p>
        </w:tc>
        <w:tc>
          <w:tcPr>
            <w:tcW w:w="8046" w:type="dxa"/>
          </w:tcPr>
          <w:p w:rsidR="00476BA7" w:rsidRPr="00C9224A" w:rsidRDefault="007A46A1" w:rsidP="007132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 will not consent to applications for early payment of deferred benefits on or after age 55 and before age 60 other than on exceptional compassionate grounds as defined.</w:t>
            </w:r>
          </w:p>
          <w:p w:rsidR="00B30C59" w:rsidRPr="00C9224A" w:rsidRDefault="00B30C59" w:rsidP="007132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0976" w:rsidTr="00C9224A">
        <w:tc>
          <w:tcPr>
            <w:tcW w:w="675" w:type="dxa"/>
            <w:vAlign w:val="center"/>
          </w:tcPr>
          <w:p w:rsidR="00ED0976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4</w:t>
            </w:r>
            <w:r w:rsidR="00BA2F71" w:rsidRPr="00C92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4962" w:type="dxa"/>
          </w:tcPr>
          <w:p w:rsidR="00ED0976" w:rsidRPr="00C9224A" w:rsidRDefault="00ED0976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Whether to waive, on compassionate grounds, the actuarial reduction applied to deferred benefits paid early under B30.</w:t>
            </w:r>
          </w:p>
        </w:tc>
        <w:tc>
          <w:tcPr>
            <w:tcW w:w="1842" w:type="dxa"/>
          </w:tcPr>
          <w:p w:rsidR="00ED0976" w:rsidRPr="00C9224A" w:rsidRDefault="00ED0976" w:rsidP="00D275E3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B30(5)</w:t>
            </w:r>
          </w:p>
        </w:tc>
        <w:tc>
          <w:tcPr>
            <w:tcW w:w="8046" w:type="dxa"/>
          </w:tcPr>
          <w:p w:rsidR="00ED0976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 will not consider waiving actuarial reductions</w:t>
            </w:r>
            <w:r w:rsidR="00BA2F71" w:rsidRPr="00C9224A">
              <w:rPr>
                <w:rFonts w:asciiTheme="minorHAnsi" w:hAnsiTheme="minorHAnsi"/>
                <w:sz w:val="22"/>
                <w:szCs w:val="22"/>
              </w:rPr>
              <w:t xml:space="preserve"> for deferred benefits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D0976" w:rsidTr="00C9224A">
        <w:tc>
          <w:tcPr>
            <w:tcW w:w="675" w:type="dxa"/>
            <w:vAlign w:val="center"/>
          </w:tcPr>
          <w:p w:rsidR="00ED0976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4</w:t>
            </w:r>
            <w:r w:rsidR="00BA2F71" w:rsidRPr="00C92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962" w:type="dxa"/>
          </w:tcPr>
          <w:p w:rsidR="00ED0976" w:rsidRPr="00C9224A" w:rsidRDefault="00ED0976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 xml:space="preserve">Whether to grant an application for early payment of a suspended </w:t>
            </w:r>
            <w:r w:rsidR="00476BA7" w:rsidRPr="00C9224A">
              <w:rPr>
                <w:rFonts w:asciiTheme="minorHAnsi" w:hAnsiTheme="minorHAnsi"/>
                <w:sz w:val="22"/>
                <w:szCs w:val="22"/>
              </w:rPr>
              <w:t>T</w:t>
            </w:r>
            <w:r w:rsidRPr="00C9224A">
              <w:rPr>
                <w:rFonts w:asciiTheme="minorHAnsi" w:hAnsiTheme="minorHAnsi"/>
                <w:sz w:val="22"/>
                <w:szCs w:val="22"/>
              </w:rPr>
              <w:t>ier 3 ill health pension on or after age 55 and before age 60.</w:t>
            </w:r>
          </w:p>
        </w:tc>
        <w:tc>
          <w:tcPr>
            <w:tcW w:w="1842" w:type="dxa"/>
          </w:tcPr>
          <w:p w:rsidR="00ED0976" w:rsidRPr="00C9224A" w:rsidRDefault="00ED0976" w:rsidP="00D275E3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B30A(3)</w:t>
            </w:r>
          </w:p>
        </w:tc>
        <w:tc>
          <w:tcPr>
            <w:tcW w:w="8046" w:type="dxa"/>
          </w:tcPr>
          <w:p w:rsidR="00476BA7" w:rsidRPr="00C9224A" w:rsidRDefault="007A46A1" w:rsidP="00B30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 will </w:t>
            </w:r>
            <w:r w:rsidR="00BA2F71" w:rsidRPr="00C9224A"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consent to applications for early payment of a suspended </w:t>
            </w:r>
            <w:r w:rsidR="00476BA7" w:rsidRPr="00C9224A">
              <w:rPr>
                <w:rFonts w:asciiTheme="minorHAnsi" w:hAnsiTheme="minorHAnsi"/>
                <w:sz w:val="22"/>
                <w:szCs w:val="22"/>
              </w:rPr>
              <w:t>T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ier 3 ill health pension on or after age 55 and before age 60 </w:t>
            </w:r>
            <w:r w:rsidR="00BA2F71" w:rsidRPr="00C9224A">
              <w:rPr>
                <w:rFonts w:asciiTheme="minorHAnsi" w:hAnsiTheme="minorHAnsi"/>
                <w:sz w:val="22"/>
                <w:szCs w:val="22"/>
              </w:rPr>
              <w:t>other than on exceptional compassionate grounds as defined.</w:t>
            </w:r>
          </w:p>
          <w:p w:rsidR="00B30C59" w:rsidRPr="00C9224A" w:rsidRDefault="00B30C59" w:rsidP="00B30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0976" w:rsidTr="00C9224A">
        <w:tc>
          <w:tcPr>
            <w:tcW w:w="675" w:type="dxa"/>
            <w:vAlign w:val="center"/>
          </w:tcPr>
          <w:p w:rsidR="00ED0976" w:rsidRPr="00C9224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4</w:t>
            </w:r>
            <w:r w:rsidR="00BA2F71" w:rsidRPr="00C92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4962" w:type="dxa"/>
          </w:tcPr>
          <w:p w:rsidR="00ED0976" w:rsidRPr="00C9224A" w:rsidRDefault="00ED0976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Whether to waive, on compassionate grounds, the actuarial reduction applied to benefits paid early under B30(A)</w:t>
            </w:r>
          </w:p>
        </w:tc>
        <w:tc>
          <w:tcPr>
            <w:tcW w:w="1842" w:type="dxa"/>
          </w:tcPr>
          <w:p w:rsidR="00ED0976" w:rsidRPr="00C9224A" w:rsidRDefault="00ED0976" w:rsidP="00D275E3">
            <w:pPr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B30A(5)</w:t>
            </w:r>
          </w:p>
        </w:tc>
        <w:tc>
          <w:tcPr>
            <w:tcW w:w="8046" w:type="dxa"/>
          </w:tcPr>
          <w:p w:rsidR="00ED0976" w:rsidRPr="00C9224A" w:rsidRDefault="007A46A1" w:rsidP="00476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ED0976" w:rsidRPr="00C9224A">
              <w:rPr>
                <w:rFonts w:asciiTheme="minorHAnsi" w:hAnsiTheme="minorHAnsi"/>
                <w:sz w:val="22"/>
                <w:szCs w:val="22"/>
              </w:rPr>
              <w:t xml:space="preserve"> will not consider waiving actuarial reductions.</w:t>
            </w:r>
          </w:p>
        </w:tc>
      </w:tr>
      <w:tr w:rsidR="007D0ACA" w:rsidTr="00C9224A">
        <w:tc>
          <w:tcPr>
            <w:tcW w:w="675" w:type="dxa"/>
            <w:vAlign w:val="center"/>
          </w:tcPr>
          <w:p w:rsidR="007D0ACA" w:rsidRPr="007D0ACA" w:rsidRDefault="007D0ACA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  <w:tc>
          <w:tcPr>
            <w:tcW w:w="4962" w:type="dxa"/>
          </w:tcPr>
          <w:p w:rsidR="007D0ACA" w:rsidRPr="00C9224A" w:rsidRDefault="007D0ACA" w:rsidP="007D0A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Whether, for a member leaving on the grounds of redundancy or business efficiency on or before 31</w:t>
            </w:r>
            <w:r w:rsidRPr="00C9224A">
              <w:rPr>
                <w:rFonts w:asciiTheme="minorHAnsi" w:hAnsiTheme="minorHAnsi"/>
                <w:sz w:val="22"/>
                <w:szCs w:val="22"/>
              </w:rPr>
              <w:t>st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March 2014, to augment membership (by up to 10 years). The resolution to do so would have to be made within 6 months of the date of leaving. Hence this discretion is spent entirely after 30</w:t>
            </w:r>
            <w:r w:rsidRPr="00C9224A">
              <w:rPr>
                <w:rFonts w:asciiTheme="minorHAnsi" w:hAnsiTheme="minorHAnsi"/>
                <w:sz w:val="22"/>
                <w:szCs w:val="22"/>
              </w:rPr>
              <w:t>th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September 2014.</w:t>
            </w:r>
          </w:p>
        </w:tc>
        <w:tc>
          <w:tcPr>
            <w:tcW w:w="1842" w:type="dxa"/>
          </w:tcPr>
          <w:p w:rsidR="007D0ACA" w:rsidRPr="00C9224A" w:rsidRDefault="007D0ACA" w:rsidP="007D0ACA">
            <w:pPr>
              <w:tabs>
                <w:tab w:val="left" w:pos="1939"/>
              </w:tabs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B12</w:t>
            </w:r>
          </w:p>
        </w:tc>
        <w:tc>
          <w:tcPr>
            <w:tcW w:w="8046" w:type="dxa"/>
          </w:tcPr>
          <w:p w:rsidR="007D0ACA" w:rsidRPr="00C9224A" w:rsidRDefault="007A46A1" w:rsidP="007D0A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224A">
              <w:rPr>
                <w:rFonts w:asciiTheme="minorHAnsi" w:hAnsiTheme="minorHAnsi"/>
                <w:sz w:val="22"/>
                <w:szCs w:val="22"/>
              </w:rPr>
              <w:t>Eastwood Park Academy Trust</w:t>
            </w:r>
            <w:r w:rsidR="007D0ACA" w:rsidRPr="00C9224A">
              <w:rPr>
                <w:rFonts w:asciiTheme="minorHAnsi" w:hAnsiTheme="minorHAnsi"/>
                <w:sz w:val="22"/>
                <w:szCs w:val="22"/>
              </w:rPr>
              <w:t xml:space="preserve"> will not consent to augment membership.</w:t>
            </w:r>
          </w:p>
        </w:tc>
      </w:tr>
    </w:tbl>
    <w:p w:rsidR="00B30C59" w:rsidRDefault="00B30C59"/>
    <w:p w:rsidR="00B30C59" w:rsidRDefault="00B30C59">
      <w:pPr>
        <w:spacing w:after="200" w:line="276" w:lineRule="auto"/>
      </w:pPr>
      <w:r>
        <w:br w:type="page"/>
      </w:r>
    </w:p>
    <w:p w:rsidR="00B30C59" w:rsidRDefault="00B30C59"/>
    <w:p w:rsidR="00906C16" w:rsidRPr="00C9224A" w:rsidRDefault="007119DA" w:rsidP="00C9224A">
      <w:pPr>
        <w:pStyle w:val="Heading1"/>
        <w:numPr>
          <w:ilvl w:val="0"/>
          <w:numId w:val="12"/>
        </w:numPr>
        <w:rPr>
          <w:rFonts w:asciiTheme="minorHAnsi" w:hAnsiTheme="minorHAnsi"/>
        </w:rPr>
      </w:pPr>
      <w:bookmarkStart w:id="5" w:name="_Toc392744608"/>
      <w:r w:rsidRPr="00C9224A">
        <w:rPr>
          <w:rFonts w:asciiTheme="minorHAnsi" w:hAnsiTheme="minorHAnsi"/>
          <w:color w:val="auto"/>
        </w:rPr>
        <w:t xml:space="preserve"> </w:t>
      </w:r>
      <w:r w:rsidR="00BA2F71" w:rsidRPr="00C9224A">
        <w:rPr>
          <w:rFonts w:asciiTheme="minorHAnsi" w:hAnsiTheme="minorHAnsi"/>
          <w:color w:val="auto"/>
        </w:rPr>
        <w:t>E</w:t>
      </w:r>
      <w:r w:rsidR="00906C16" w:rsidRPr="00C9224A">
        <w:rPr>
          <w:rFonts w:asciiTheme="minorHAnsi" w:hAnsiTheme="minorHAnsi"/>
          <w:color w:val="auto"/>
        </w:rPr>
        <w:t>mployer Discretions – Local Government Pension Scheme Regulations 1997 (as amended) in relation to pre 1 April 2008 leavers</w:t>
      </w:r>
      <w:bookmarkEnd w:id="5"/>
    </w:p>
    <w:p w:rsidR="00A134BD" w:rsidRPr="00A134BD" w:rsidRDefault="00A134BD" w:rsidP="00A134BD">
      <w:pPr>
        <w:pStyle w:val="ListParagraph"/>
        <w:rPr>
          <w:rFonts w:ascii="Verdana" w:hAnsi="Verdan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029"/>
        <w:gridCol w:w="1691"/>
        <w:gridCol w:w="7910"/>
      </w:tblGrid>
      <w:tr w:rsidR="00BA2F71" w:rsidRPr="00A52649" w:rsidTr="00C9224A">
        <w:tc>
          <w:tcPr>
            <w:tcW w:w="675" w:type="dxa"/>
          </w:tcPr>
          <w:p w:rsidR="00BA2F71" w:rsidRPr="007D0ACA" w:rsidRDefault="00BA2F71" w:rsidP="00D275E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BA2F71" w:rsidRPr="007D0ACA" w:rsidRDefault="00BA2F71" w:rsidP="00C9224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b/>
                <w:sz w:val="22"/>
                <w:szCs w:val="22"/>
              </w:rPr>
              <w:t>Discretion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2F71" w:rsidRPr="007D0ACA" w:rsidRDefault="00BA2F71" w:rsidP="00C9224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b/>
                <w:sz w:val="22"/>
                <w:szCs w:val="22"/>
              </w:rPr>
              <w:t>Regulation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BA2F71" w:rsidRPr="007D0ACA" w:rsidRDefault="00BA2F71" w:rsidP="00C9224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b/>
                <w:sz w:val="22"/>
                <w:szCs w:val="22"/>
              </w:rPr>
              <w:t>Employer Policy</w:t>
            </w:r>
          </w:p>
        </w:tc>
      </w:tr>
      <w:tr w:rsidR="00BA2F71" w:rsidTr="00C9224A">
        <w:tc>
          <w:tcPr>
            <w:tcW w:w="675" w:type="dxa"/>
            <w:vAlign w:val="center"/>
          </w:tcPr>
          <w:p w:rsidR="00BA2F71" w:rsidRPr="007D0AC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5</w:t>
            </w:r>
            <w:r w:rsidR="00BA2F71" w:rsidRPr="007D0AC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5103" w:type="dxa"/>
          </w:tcPr>
          <w:p w:rsidR="00BA2F71" w:rsidRPr="007D0ACA" w:rsidRDefault="00BA2F71" w:rsidP="00171AE6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Grant application from a post 31</w:t>
            </w:r>
            <w:r w:rsidRPr="007D0AC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March 1998 / pre 1</w:t>
            </w:r>
            <w:r w:rsidRPr="007D0AC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April 2008 leaver for early payment of benefits on or after age 50/55 and before age 60.</w:t>
            </w:r>
          </w:p>
        </w:tc>
        <w:tc>
          <w:tcPr>
            <w:tcW w:w="1701" w:type="dxa"/>
          </w:tcPr>
          <w:p w:rsidR="00BA2F71" w:rsidRPr="007D0ACA" w:rsidRDefault="00BA2F71" w:rsidP="00D275E3">
            <w:pPr>
              <w:tabs>
                <w:tab w:val="left" w:pos="1939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31(2)</w:t>
            </w:r>
          </w:p>
        </w:tc>
        <w:tc>
          <w:tcPr>
            <w:tcW w:w="8046" w:type="dxa"/>
          </w:tcPr>
          <w:p w:rsidR="00BA2F71" w:rsidRPr="007D0ACA" w:rsidRDefault="007A46A1" w:rsidP="00171AE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BA2F71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consent to applications for early payment of </w:t>
            </w:r>
            <w:r w:rsidR="00171AE6" w:rsidRPr="007D0ACA">
              <w:rPr>
                <w:rFonts w:asciiTheme="minorHAnsi" w:hAnsiTheme="minorHAnsi" w:cs="Tahoma"/>
                <w:sz w:val="22"/>
                <w:szCs w:val="22"/>
              </w:rPr>
              <w:t xml:space="preserve">deferred </w:t>
            </w:r>
            <w:r w:rsidR="00BA2F71" w:rsidRPr="007D0ACA">
              <w:rPr>
                <w:rFonts w:asciiTheme="minorHAnsi" w:hAnsiTheme="minorHAnsi" w:cs="Tahoma"/>
                <w:sz w:val="22"/>
                <w:szCs w:val="22"/>
              </w:rPr>
              <w:t>benefits to those age</w:t>
            </w:r>
            <w:r w:rsidR="00A134BD" w:rsidRPr="007D0ACA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BA2F71" w:rsidRPr="007D0ACA">
              <w:rPr>
                <w:rFonts w:asciiTheme="minorHAnsi" w:hAnsiTheme="minorHAnsi" w:cs="Tahoma"/>
                <w:sz w:val="22"/>
                <w:szCs w:val="22"/>
              </w:rPr>
              <w:t xml:space="preserve"> 55+ other than on exceptional compassionate grounds as defined.</w:t>
            </w:r>
            <w:r w:rsidR="00171AE6" w:rsidRPr="007D0ACA">
              <w:rPr>
                <w:rFonts w:asciiTheme="minorHAnsi" w:hAnsiTheme="minorHAnsi" w:cs="Tahoma"/>
                <w:sz w:val="22"/>
                <w:szCs w:val="22"/>
              </w:rPr>
              <w:t xml:space="preserve">  Applications for </w:t>
            </w:r>
            <w:r w:rsidR="00BA2F71" w:rsidRPr="007D0ACA">
              <w:rPr>
                <w:rFonts w:asciiTheme="minorHAnsi" w:hAnsiTheme="minorHAnsi" w:cs="Tahoma"/>
                <w:sz w:val="22"/>
                <w:szCs w:val="22"/>
              </w:rPr>
              <w:t>those age</w:t>
            </w:r>
            <w:r w:rsidR="00A134BD" w:rsidRPr="007D0ACA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BA2F71" w:rsidRPr="007D0ACA">
              <w:rPr>
                <w:rFonts w:asciiTheme="minorHAnsi" w:hAnsiTheme="minorHAnsi" w:cs="Tahoma"/>
                <w:sz w:val="22"/>
                <w:szCs w:val="22"/>
              </w:rPr>
              <w:t xml:space="preserve"> 50-54</w:t>
            </w:r>
            <w:r w:rsidR="00171AE6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be considered due to the HMRC ruling that such payments are unauthorised.</w:t>
            </w:r>
          </w:p>
          <w:p w:rsidR="00A134BD" w:rsidRPr="007D0ACA" w:rsidRDefault="00A134BD" w:rsidP="00171AE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A2F71" w:rsidTr="00C9224A">
        <w:tc>
          <w:tcPr>
            <w:tcW w:w="675" w:type="dxa"/>
            <w:vAlign w:val="center"/>
          </w:tcPr>
          <w:p w:rsidR="00BA2F71" w:rsidRPr="007D0ACA" w:rsidRDefault="00A134BD" w:rsidP="00C92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5</w:t>
            </w:r>
            <w:r w:rsidR="00BA2F71" w:rsidRPr="007D0AC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5103" w:type="dxa"/>
          </w:tcPr>
          <w:p w:rsidR="00BA2F71" w:rsidRPr="007D0ACA" w:rsidRDefault="00BA2F71" w:rsidP="00A134BD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Waive, on compassionate grounds, the actuarial reduction applied to benefits paid early for a post 31</w:t>
            </w:r>
            <w:r w:rsidRPr="007D0AC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March 1998 / pre 1</w:t>
            </w:r>
            <w:r w:rsidRPr="007D0AC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 xml:space="preserve"> April 2008</w:t>
            </w:r>
            <w:r w:rsidR="00A134BD" w:rsidRPr="007D0ACA">
              <w:rPr>
                <w:rFonts w:asciiTheme="minorHAnsi" w:hAnsiTheme="minorHAnsi"/>
                <w:sz w:val="22"/>
                <w:szCs w:val="22"/>
              </w:rPr>
              <w:t xml:space="preserve"> l</w:t>
            </w:r>
            <w:r w:rsidRPr="007D0ACA">
              <w:rPr>
                <w:rFonts w:asciiTheme="minorHAnsi" w:hAnsiTheme="minorHAnsi"/>
                <w:sz w:val="22"/>
                <w:szCs w:val="22"/>
              </w:rPr>
              <w:t>eaver.</w:t>
            </w:r>
          </w:p>
        </w:tc>
        <w:tc>
          <w:tcPr>
            <w:tcW w:w="1701" w:type="dxa"/>
          </w:tcPr>
          <w:p w:rsidR="00BA2F71" w:rsidRPr="007D0ACA" w:rsidRDefault="00BA2F71" w:rsidP="00D275E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31(5)</w:t>
            </w:r>
          </w:p>
        </w:tc>
        <w:tc>
          <w:tcPr>
            <w:tcW w:w="8046" w:type="dxa"/>
          </w:tcPr>
          <w:p w:rsidR="00BA2F71" w:rsidRPr="007D0ACA" w:rsidRDefault="007A46A1" w:rsidP="00D275E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="00BA2F71"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consider waiving actuarial reductions.</w:t>
            </w:r>
          </w:p>
        </w:tc>
      </w:tr>
    </w:tbl>
    <w:p w:rsidR="00C9224A" w:rsidRPr="007119DA" w:rsidRDefault="00C9224A" w:rsidP="00C9224A">
      <w:pPr>
        <w:pStyle w:val="Heading1"/>
        <w:numPr>
          <w:ilvl w:val="0"/>
          <w:numId w:val="12"/>
        </w:numPr>
        <w:rPr>
          <w:rFonts w:asciiTheme="minorHAnsi" w:hAnsiTheme="minorHAnsi"/>
          <w:color w:val="auto"/>
        </w:rPr>
      </w:pPr>
      <w:bookmarkStart w:id="6" w:name="_Toc392744609"/>
      <w:r>
        <w:rPr>
          <w:rFonts w:asciiTheme="minorHAnsi" w:hAnsiTheme="minorHAnsi"/>
          <w:color w:val="auto"/>
        </w:rPr>
        <w:t xml:space="preserve"> </w:t>
      </w:r>
      <w:r w:rsidRPr="007119DA">
        <w:rPr>
          <w:rFonts w:asciiTheme="minorHAnsi" w:hAnsiTheme="minorHAnsi"/>
          <w:color w:val="auto"/>
        </w:rPr>
        <w:t>Employer Discretions – Local Government Pension Scheme Regulations 1995 (as amended) in relation to pre 1 April 1998 leavers</w:t>
      </w:r>
      <w:bookmarkEnd w:id="6"/>
    </w:p>
    <w:p w:rsidR="00C9224A" w:rsidRPr="00171AE6" w:rsidRDefault="00C9224A" w:rsidP="00C9224A">
      <w:pPr>
        <w:pStyle w:val="ListParagraph"/>
        <w:ind w:left="567"/>
        <w:rPr>
          <w:rFonts w:ascii="Verdana" w:hAnsi="Verdan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029"/>
        <w:gridCol w:w="1691"/>
        <w:gridCol w:w="7910"/>
      </w:tblGrid>
      <w:tr w:rsidR="00C9224A" w:rsidRPr="00A52649" w:rsidTr="00794068">
        <w:tc>
          <w:tcPr>
            <w:tcW w:w="675" w:type="dxa"/>
          </w:tcPr>
          <w:p w:rsidR="00C9224A" w:rsidRPr="007D0ACA" w:rsidRDefault="00C9224A" w:rsidP="0079406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C9224A" w:rsidRPr="007119DA" w:rsidRDefault="00C9224A" w:rsidP="0079406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119DA">
              <w:rPr>
                <w:rFonts w:asciiTheme="minorHAnsi" w:hAnsiTheme="minorHAnsi" w:cs="Tahoma"/>
                <w:b/>
                <w:sz w:val="22"/>
                <w:szCs w:val="22"/>
              </w:rPr>
              <w:t>Discretion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224A" w:rsidRPr="007119DA" w:rsidRDefault="00C9224A" w:rsidP="0079406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119DA">
              <w:rPr>
                <w:rFonts w:asciiTheme="minorHAnsi" w:hAnsiTheme="minorHAnsi" w:cs="Tahoma"/>
                <w:b/>
                <w:sz w:val="22"/>
                <w:szCs w:val="22"/>
              </w:rPr>
              <w:t>Regulation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C9224A" w:rsidRPr="007119DA" w:rsidRDefault="00C9224A" w:rsidP="0079406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119DA">
              <w:rPr>
                <w:rFonts w:asciiTheme="minorHAnsi" w:hAnsiTheme="minorHAnsi" w:cs="Tahoma"/>
                <w:b/>
                <w:sz w:val="22"/>
                <w:szCs w:val="22"/>
              </w:rPr>
              <w:t>Employer Policy</w:t>
            </w:r>
          </w:p>
        </w:tc>
      </w:tr>
      <w:tr w:rsidR="00C9224A" w:rsidTr="00794068">
        <w:tc>
          <w:tcPr>
            <w:tcW w:w="675" w:type="dxa"/>
            <w:vAlign w:val="center"/>
          </w:tcPr>
          <w:p w:rsidR="00C9224A" w:rsidRPr="007D0ACA" w:rsidRDefault="00C9224A" w:rsidP="007940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  <w:tc>
          <w:tcPr>
            <w:tcW w:w="5103" w:type="dxa"/>
          </w:tcPr>
          <w:p w:rsidR="00C9224A" w:rsidRPr="007D0ACA" w:rsidRDefault="00C9224A" w:rsidP="00794068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0ACA">
              <w:rPr>
                <w:rFonts w:asciiTheme="minorHAnsi" w:hAnsiTheme="minorHAnsi"/>
                <w:sz w:val="22"/>
                <w:szCs w:val="22"/>
              </w:rPr>
              <w:t>Grant applications for early payment of deferred pension benefits on or before age 50 and before age 65 on compassionate grounds.</w:t>
            </w:r>
          </w:p>
        </w:tc>
        <w:tc>
          <w:tcPr>
            <w:tcW w:w="1701" w:type="dxa"/>
          </w:tcPr>
          <w:p w:rsidR="00C9224A" w:rsidRPr="007D0ACA" w:rsidRDefault="00C9224A" w:rsidP="00794068">
            <w:pPr>
              <w:tabs>
                <w:tab w:val="left" w:pos="1939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7D0ACA">
              <w:rPr>
                <w:rFonts w:asciiTheme="minorHAnsi" w:hAnsiTheme="minorHAnsi" w:cs="Tahoma"/>
                <w:sz w:val="22"/>
                <w:szCs w:val="22"/>
              </w:rPr>
              <w:t>D11(2)(c)</w:t>
            </w:r>
          </w:p>
        </w:tc>
        <w:tc>
          <w:tcPr>
            <w:tcW w:w="8046" w:type="dxa"/>
          </w:tcPr>
          <w:p w:rsidR="00C9224A" w:rsidRPr="007D0ACA" w:rsidRDefault="00C9224A" w:rsidP="00794068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Eastwood Park Academy Trust</w:t>
            </w:r>
            <w:r w:rsidRPr="007D0ACA">
              <w:rPr>
                <w:rFonts w:asciiTheme="minorHAnsi" w:hAnsiTheme="minorHAnsi" w:cs="Tahoma"/>
                <w:sz w:val="22"/>
                <w:szCs w:val="22"/>
              </w:rPr>
              <w:t xml:space="preserve"> will not consent to applications for early payment of deferred benefits to those aged 55+ other than on exceptional compassionate grounds as defined.  Applications for those aged 50-54 will not be considered due to the HMRC ruling that such payments are unauthorised.</w:t>
            </w:r>
          </w:p>
          <w:p w:rsidR="00C9224A" w:rsidRPr="007D0ACA" w:rsidRDefault="00C9224A" w:rsidP="0079406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B30C59" w:rsidRDefault="00B30C5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9224A" w:rsidRDefault="00C9224A" w:rsidP="00C9224A">
      <w:pPr>
        <w:pStyle w:val="Heading1"/>
        <w:rPr>
          <w:rFonts w:asciiTheme="minorHAnsi" w:hAnsiTheme="minorHAnsi"/>
          <w:color w:val="auto"/>
        </w:rPr>
      </w:pPr>
      <w:bookmarkStart w:id="7" w:name="_Toc392744610"/>
    </w:p>
    <w:p w:rsidR="00EB7DBD" w:rsidRPr="007119DA" w:rsidRDefault="007119DA" w:rsidP="007119DA">
      <w:pPr>
        <w:pStyle w:val="Heading1"/>
        <w:numPr>
          <w:ilvl w:val="0"/>
          <w:numId w:val="12"/>
        </w:numPr>
        <w:rPr>
          <w:rFonts w:asciiTheme="minorHAnsi" w:hAnsiTheme="minorHAnsi"/>
          <w:color w:val="auto"/>
        </w:rPr>
      </w:pPr>
      <w:r w:rsidRPr="007119DA">
        <w:rPr>
          <w:rFonts w:asciiTheme="minorHAnsi" w:hAnsiTheme="minorHAnsi"/>
          <w:color w:val="auto"/>
        </w:rPr>
        <w:t xml:space="preserve"> </w:t>
      </w:r>
      <w:r w:rsidR="0056183D" w:rsidRPr="007119DA">
        <w:rPr>
          <w:rFonts w:asciiTheme="minorHAnsi" w:hAnsiTheme="minorHAnsi"/>
          <w:color w:val="auto"/>
        </w:rPr>
        <w:t xml:space="preserve">Employer </w:t>
      </w:r>
      <w:r w:rsidR="00EB7DBD" w:rsidRPr="007119DA">
        <w:rPr>
          <w:rFonts w:asciiTheme="minorHAnsi" w:hAnsiTheme="minorHAnsi"/>
          <w:color w:val="auto"/>
        </w:rPr>
        <w:t>Discretions under the Local Government (Early Termination of Employment) (Discretionary Compensation) (England and Wales) Regulations 2006 (as amended)</w:t>
      </w:r>
      <w:bookmarkEnd w:id="7"/>
    </w:p>
    <w:p w:rsidR="00A134BD" w:rsidRPr="00171AE6" w:rsidRDefault="00A134BD" w:rsidP="00A134BD">
      <w:pPr>
        <w:pStyle w:val="ListParagraph"/>
        <w:ind w:left="567"/>
        <w:rPr>
          <w:rFonts w:ascii="Verdana" w:hAnsi="Verdana" w:cs="Arial"/>
          <w:b/>
          <w:bCs/>
          <w:sz w:val="28"/>
          <w:szCs w:val="24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585"/>
        <w:gridCol w:w="4935"/>
        <w:gridCol w:w="1814"/>
        <w:gridCol w:w="7965"/>
      </w:tblGrid>
      <w:tr w:rsidR="00171AE6" w:rsidRPr="00EB7DBD" w:rsidTr="007119DA">
        <w:tc>
          <w:tcPr>
            <w:tcW w:w="189" w:type="pct"/>
          </w:tcPr>
          <w:p w:rsidR="00171AE6" w:rsidRPr="007D0ACA" w:rsidRDefault="00171AE6" w:rsidP="00EB7DB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98" w:type="pct"/>
            <w:shd w:val="clear" w:color="auto" w:fill="D9D9D9" w:themeFill="background1" w:themeFillShade="D9"/>
          </w:tcPr>
          <w:p w:rsidR="00171AE6" w:rsidRPr="007119DA" w:rsidRDefault="00171AE6" w:rsidP="007119DA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119DA">
              <w:rPr>
                <w:rFonts w:asciiTheme="minorHAnsi" w:hAnsiTheme="minorHAnsi" w:cs="Arial"/>
                <w:b/>
                <w:sz w:val="22"/>
                <w:szCs w:val="22"/>
              </w:rPr>
              <w:t>Discretion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171AE6" w:rsidRPr="007119DA" w:rsidRDefault="00171AE6" w:rsidP="007119DA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119DA">
              <w:rPr>
                <w:rFonts w:asciiTheme="minorHAnsi" w:hAnsiTheme="minorHAnsi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2578" w:type="pct"/>
            <w:shd w:val="clear" w:color="auto" w:fill="D9D9D9" w:themeFill="background1" w:themeFillShade="D9"/>
          </w:tcPr>
          <w:p w:rsidR="00171AE6" w:rsidRPr="007119DA" w:rsidRDefault="007119DA" w:rsidP="007119D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 Policy</w:t>
            </w:r>
          </w:p>
        </w:tc>
      </w:tr>
      <w:tr w:rsidR="00171AE6" w:rsidRPr="00EB7DBD" w:rsidTr="00C9224A">
        <w:tc>
          <w:tcPr>
            <w:tcW w:w="189" w:type="pct"/>
            <w:vAlign w:val="center"/>
          </w:tcPr>
          <w:p w:rsidR="00171AE6" w:rsidRPr="007D0ACA" w:rsidRDefault="00A134BD" w:rsidP="00C922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A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171AE6" w:rsidRPr="007D0ACA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598" w:type="pct"/>
          </w:tcPr>
          <w:p w:rsidR="00171AE6" w:rsidRPr="007D0ACA" w:rsidRDefault="00171AE6" w:rsidP="00EB7DB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hAnsiTheme="minorHAnsi" w:cs="Arial"/>
                <w:sz w:val="22"/>
                <w:szCs w:val="22"/>
              </w:rPr>
              <w:t>To base redundancy payments on an actual week</w:t>
            </w:r>
            <w:r w:rsidR="00A134BD" w:rsidRPr="007D0ACA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7D0ACA">
              <w:rPr>
                <w:rFonts w:asciiTheme="minorHAnsi" w:hAnsiTheme="minorHAnsi" w:cs="Arial"/>
                <w:sz w:val="22"/>
                <w:szCs w:val="22"/>
              </w:rPr>
              <w:t xml:space="preserve">s pay where this exceeds the statutory week’s pay limit. </w:t>
            </w:r>
          </w:p>
        </w:tc>
        <w:tc>
          <w:tcPr>
            <w:tcW w:w="587" w:type="pct"/>
          </w:tcPr>
          <w:p w:rsidR="00171AE6" w:rsidRPr="007D0ACA" w:rsidRDefault="00171AE6" w:rsidP="00EB7DB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578" w:type="pct"/>
          </w:tcPr>
          <w:p w:rsidR="00171AE6" w:rsidRPr="007D0ACA" w:rsidRDefault="007A46A1" w:rsidP="000614D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Eastwood Park Academy Trust</w:t>
            </w:r>
            <w:r w:rsidR="00171AE6" w:rsidRPr="007D0ACA">
              <w:rPr>
                <w:rFonts w:asciiTheme="minorHAnsi" w:hAnsiTheme="minorHAnsi" w:cs="Arial"/>
                <w:sz w:val="22"/>
                <w:szCs w:val="22"/>
              </w:rPr>
              <w:t xml:space="preserve"> will base redundancy payments on actual week’s pay.</w:t>
            </w:r>
          </w:p>
        </w:tc>
      </w:tr>
      <w:tr w:rsidR="00171AE6" w:rsidRPr="00EB7DBD" w:rsidTr="00C9224A">
        <w:tc>
          <w:tcPr>
            <w:tcW w:w="189" w:type="pct"/>
            <w:vAlign w:val="center"/>
          </w:tcPr>
          <w:p w:rsidR="00171AE6" w:rsidRPr="007D0ACA" w:rsidRDefault="00A134BD" w:rsidP="00C922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A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171AE6" w:rsidRPr="007D0ACA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598" w:type="pct"/>
          </w:tcPr>
          <w:p w:rsidR="00171AE6" w:rsidRPr="007D0ACA" w:rsidRDefault="00171AE6" w:rsidP="00EB7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0ACA">
              <w:rPr>
                <w:rFonts w:asciiTheme="minorHAnsi" w:hAnsiTheme="minorHAnsi" w:cs="Arial"/>
                <w:sz w:val="22"/>
                <w:szCs w:val="22"/>
              </w:rPr>
              <w:t xml:space="preserve">To award lump sum compensation of up to 104 week’s pay in cases of redundancy, termination of employment on efficiency grounds, or cessation of a joint appointment. </w:t>
            </w:r>
          </w:p>
        </w:tc>
        <w:tc>
          <w:tcPr>
            <w:tcW w:w="587" w:type="pct"/>
          </w:tcPr>
          <w:p w:rsidR="00171AE6" w:rsidRPr="007D0ACA" w:rsidRDefault="00171AE6" w:rsidP="00EB7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0ACA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578" w:type="pct"/>
          </w:tcPr>
          <w:p w:rsidR="00171AE6" w:rsidRPr="007D0ACA" w:rsidRDefault="007A46A1" w:rsidP="006941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Eastwood Park Academy Trust</w:t>
            </w:r>
            <w:r w:rsidR="00171AE6" w:rsidRPr="007D0ACA">
              <w:rPr>
                <w:rFonts w:asciiTheme="minorHAnsi" w:hAnsiTheme="minorHAnsi" w:cs="Arial"/>
                <w:sz w:val="22"/>
                <w:szCs w:val="22"/>
              </w:rPr>
              <w:t xml:space="preserve"> will not award lump sum compensation in cases of redundancy*, termination of employment on efficiency grounds, or cessation of a joint appointment.</w:t>
            </w:r>
          </w:p>
          <w:p w:rsidR="00171AE6" w:rsidRPr="007D0ACA" w:rsidRDefault="00171AE6" w:rsidP="006941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0ACA">
              <w:rPr>
                <w:rFonts w:asciiTheme="minorHAnsi" w:hAnsiTheme="minorHAnsi" w:cs="Arial"/>
                <w:sz w:val="22"/>
                <w:szCs w:val="22"/>
              </w:rPr>
              <w:t>*except where so obliged by virtue of TUPE.</w:t>
            </w:r>
          </w:p>
        </w:tc>
      </w:tr>
    </w:tbl>
    <w:p w:rsidR="00061CC2" w:rsidRDefault="00061CC2" w:rsidP="00061CC2">
      <w:pPr>
        <w:pStyle w:val="Heading1"/>
        <w:ind w:left="360"/>
        <w:rPr>
          <w:rFonts w:eastAsia="Arial Unicode MS"/>
        </w:rPr>
      </w:pPr>
    </w:p>
    <w:p w:rsidR="00061CC2" w:rsidRDefault="00061CC2">
      <w:pPr>
        <w:spacing w:after="200" w:line="276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061CC2" w:rsidRDefault="00061CC2">
      <w:pPr>
        <w:spacing w:after="200" w:line="276" w:lineRule="auto"/>
        <w:rPr>
          <w:rFonts w:asciiTheme="majorHAnsi" w:eastAsia="Arial Unicode MS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A37F6" w:rsidRPr="007119DA" w:rsidRDefault="007119DA" w:rsidP="00C9224A">
      <w:pPr>
        <w:pStyle w:val="Heading1"/>
        <w:numPr>
          <w:ilvl w:val="0"/>
          <w:numId w:val="13"/>
        </w:numPr>
        <w:rPr>
          <w:rFonts w:asciiTheme="minorHAnsi" w:eastAsia="Arial Unicode MS" w:hAnsiTheme="minorHAnsi"/>
          <w:color w:val="auto"/>
        </w:rPr>
      </w:pPr>
      <w:bookmarkStart w:id="8" w:name="_Toc392744611"/>
      <w:r w:rsidRPr="007119DA">
        <w:rPr>
          <w:rFonts w:asciiTheme="minorHAnsi" w:eastAsia="Arial Unicode MS" w:hAnsiTheme="minorHAnsi"/>
          <w:color w:val="auto"/>
        </w:rPr>
        <w:t xml:space="preserve"> </w:t>
      </w:r>
      <w:r w:rsidR="0056183D" w:rsidRPr="007119DA">
        <w:rPr>
          <w:rFonts w:asciiTheme="minorHAnsi" w:eastAsia="Arial Unicode MS" w:hAnsiTheme="minorHAnsi"/>
          <w:color w:val="auto"/>
        </w:rPr>
        <w:t xml:space="preserve">Employer </w:t>
      </w:r>
      <w:r w:rsidR="007A37F6" w:rsidRPr="007119DA">
        <w:rPr>
          <w:rFonts w:asciiTheme="minorHAnsi" w:eastAsia="Arial Unicode MS" w:hAnsiTheme="minorHAnsi"/>
          <w:color w:val="auto"/>
        </w:rPr>
        <w:t>Discretions under the Local Government (Discretionary Payments) (Injury Allowance) Regulations 2011</w:t>
      </w:r>
      <w:bookmarkEnd w:id="8"/>
    </w:p>
    <w:p w:rsidR="00A134BD" w:rsidRPr="00A134BD" w:rsidRDefault="00A134BD" w:rsidP="00A134BD">
      <w:pPr>
        <w:pStyle w:val="ListParagraph"/>
        <w:ind w:left="360"/>
        <w:rPr>
          <w:rFonts w:ascii="Verdana" w:eastAsia="Arial Unicode MS" w:hAnsi="Verdana" w:cs="Arial"/>
          <w:b/>
          <w:sz w:val="28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1"/>
        <w:gridCol w:w="7670"/>
        <w:gridCol w:w="1968"/>
        <w:gridCol w:w="4990"/>
      </w:tblGrid>
      <w:tr w:rsidR="009935EC" w:rsidRPr="007A37F6" w:rsidTr="007119DA">
        <w:tc>
          <w:tcPr>
            <w:tcW w:w="675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</w:tcPr>
          <w:p w:rsidR="0056183D" w:rsidRPr="007D0ACA" w:rsidRDefault="0056183D" w:rsidP="007119D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Discretion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183D" w:rsidRPr="007D0ACA" w:rsidRDefault="0056183D" w:rsidP="007119D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:rsidR="0056183D" w:rsidRPr="007D0ACA" w:rsidRDefault="007119DA" w:rsidP="007119D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Employer Policy</w:t>
            </w: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a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Whether to grant an injury allowance following a reduction in remuneration as a result of sustaining an injury or contracting a disease in the course of carrying out duties.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3 (1)</w:t>
            </w:r>
          </w:p>
        </w:tc>
        <w:tc>
          <w:tcPr>
            <w:tcW w:w="5069" w:type="dxa"/>
          </w:tcPr>
          <w:p w:rsidR="0056183D" w:rsidRPr="007D0ACA" w:rsidRDefault="007A46A1" w:rsidP="0056183D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  <w:p w:rsidR="00A134BD" w:rsidRPr="007D0ACA" w:rsidRDefault="00A134BD" w:rsidP="0056183D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b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Amount of injury allowance following reduction in remuneration as a result of sustaining an injury or contracting a disease in the course of carrying out duties of the job.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3(4) and 8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  <w:p w:rsidR="005A284C" w:rsidRPr="007D0ACA" w:rsidRDefault="005A284C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c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Determine whether person continues to be entitled to an injury allowance awarded under regulation 3(1).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3(2)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  <w:p w:rsidR="005A284C" w:rsidRPr="007D0ACA" w:rsidRDefault="005A284C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d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Whether to grant an injury allowance following cessation of employment as a result of permanent incapacity caused by sustaining an injury or contracting a disease in the course of carrying out duties if the job.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4(1)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e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Amount of injury allowance following cessation as a result of permanent incapacity caused by sustaining an injury or contracting a disease in the course of carrying out duties of the job.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4(3) and 8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f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Determine whether person continues to be entitled to an injury allowance awarded under regulation 4(1).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4(2)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  <w:p w:rsidR="005A284C" w:rsidRPr="007D0ACA" w:rsidRDefault="005A284C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g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Whether to suspend or discontinue injury allowance awarded under regulation 4(1) if person secures paid employment for not less than 30 hours per week for a period of not less than 12 months.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4(5)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h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Whether to grant an injury allowance following cessation of employment with entitlement to immediate LGPS pension where a </w:t>
            </w:r>
            <w:proofErr w:type="spellStart"/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reg</w:t>
            </w:r>
            <w:proofErr w:type="spellEnd"/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3 payment was being made at date of cessation of employment but </w:t>
            </w:r>
            <w:proofErr w:type="spellStart"/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reg</w:t>
            </w:r>
            <w:proofErr w:type="spellEnd"/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4 does not apply.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6(1)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lastRenderedPageBreak/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i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Dete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r</w:t>
            </w: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mine whether and when to cease payment of an injury allowance payable under regulation 6(1)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6(2)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  <w:p w:rsidR="005A284C" w:rsidRPr="007D0ACA" w:rsidRDefault="005A284C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j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Whether to grant an injury allowance to the spouse, civil partner, nominated co-habiting partner or dependent of an employee who dies as a result of sustaining an injury or contracting a disease in the course of carrying out duties of the job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7(1)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k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Determine amount of any injury allowance to be paid under regulation 7(1)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7(2) and 8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</w:tc>
      </w:tr>
      <w:tr w:rsidR="009935EC" w:rsidRPr="007A37F6" w:rsidTr="00C9224A">
        <w:tc>
          <w:tcPr>
            <w:tcW w:w="675" w:type="dxa"/>
            <w:vAlign w:val="center"/>
          </w:tcPr>
          <w:p w:rsidR="0056183D" w:rsidRPr="007D0ACA" w:rsidRDefault="00A134BD" w:rsidP="00C9224A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8</w:t>
            </w:r>
            <w:r w:rsidR="009935E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l</w:t>
            </w:r>
          </w:p>
        </w:tc>
        <w:tc>
          <w:tcPr>
            <w:tcW w:w="7797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Determine whether and when to cease payment of an injury allowance payable under regulation (7)1</w:t>
            </w:r>
          </w:p>
        </w:tc>
        <w:tc>
          <w:tcPr>
            <w:tcW w:w="1984" w:type="dxa"/>
          </w:tcPr>
          <w:p w:rsidR="0056183D" w:rsidRPr="007D0ACA" w:rsidRDefault="0056183D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7(3)</w:t>
            </w:r>
          </w:p>
        </w:tc>
        <w:tc>
          <w:tcPr>
            <w:tcW w:w="5069" w:type="dxa"/>
          </w:tcPr>
          <w:p w:rsidR="0056183D" w:rsidRPr="007D0ACA" w:rsidRDefault="007A46A1" w:rsidP="007A37F6">
            <w:pPr>
              <w:spacing w:before="100" w:beforeAutospacing="1" w:after="100" w:afterAutospacing="1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Eastwood Park Academy Trust</w:t>
            </w:r>
            <w:r w:rsidR="005A284C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56183D" w:rsidRPr="007D0ACA">
              <w:rPr>
                <w:rFonts w:asciiTheme="minorHAnsi" w:eastAsia="Arial Unicode MS" w:hAnsiTheme="minorHAnsi" w:cs="Arial"/>
                <w:sz w:val="22"/>
                <w:szCs w:val="22"/>
              </w:rPr>
              <w:t>Policy is not to set up an Injury Allowance Scheme at this time.</w:t>
            </w:r>
          </w:p>
        </w:tc>
      </w:tr>
    </w:tbl>
    <w:p w:rsidR="00B776E0" w:rsidRDefault="00B776E0" w:rsidP="00F84588">
      <w:pPr>
        <w:rPr>
          <w:rFonts w:ascii="Verdana" w:hAnsi="Verdana" w:cs="Tahoma"/>
          <w:sz w:val="28"/>
          <w:szCs w:val="28"/>
          <w:u w:val="single"/>
        </w:rPr>
        <w:sectPr w:rsidR="00B776E0" w:rsidSect="004E4820">
          <w:footerReference w:type="default" r:id="rId9"/>
          <w:pgSz w:w="16838" w:h="11906" w:orient="landscape"/>
          <w:pgMar w:top="567" w:right="678" w:bottom="567" w:left="851" w:header="709" w:footer="709" w:gutter="0"/>
          <w:pgNumType w:start="1"/>
          <w:cols w:space="708"/>
          <w:docGrid w:linePitch="360"/>
        </w:sectPr>
      </w:pPr>
    </w:p>
    <w:p w:rsidR="00B776E0" w:rsidRPr="007119DA" w:rsidRDefault="007D0ACA" w:rsidP="00C9224A">
      <w:pPr>
        <w:pStyle w:val="Heading1"/>
        <w:jc w:val="center"/>
        <w:rPr>
          <w:rFonts w:asciiTheme="minorHAnsi" w:hAnsiTheme="minorHAnsi"/>
          <w:color w:val="auto"/>
          <w:lang w:eastAsia="en-GB"/>
        </w:rPr>
      </w:pPr>
      <w:bookmarkStart w:id="9" w:name="_Toc392744612"/>
      <w:r w:rsidRPr="007119DA">
        <w:rPr>
          <w:rFonts w:asciiTheme="minorHAnsi" w:hAnsiTheme="minorHAnsi"/>
          <w:color w:val="auto"/>
          <w:lang w:eastAsia="en-GB"/>
        </w:rPr>
        <w:lastRenderedPageBreak/>
        <w:t>A</w:t>
      </w:r>
      <w:r w:rsidR="00C14F84" w:rsidRPr="007119DA">
        <w:rPr>
          <w:rFonts w:asciiTheme="minorHAnsi" w:hAnsiTheme="minorHAnsi"/>
          <w:color w:val="auto"/>
          <w:lang w:eastAsia="en-GB"/>
        </w:rPr>
        <w:t xml:space="preserve">ppendix A: </w:t>
      </w:r>
      <w:r w:rsidR="00B776E0" w:rsidRPr="007119DA">
        <w:rPr>
          <w:rFonts w:asciiTheme="minorHAnsi" w:hAnsiTheme="minorHAnsi"/>
          <w:color w:val="auto"/>
          <w:lang w:eastAsia="en-GB"/>
        </w:rPr>
        <w:t>APPLICATION FOR FLEXIBLE RETIREMENT</w:t>
      </w:r>
      <w:bookmarkEnd w:id="9"/>
    </w:p>
    <w:p w:rsidR="00B776E0" w:rsidRPr="00B776E0" w:rsidRDefault="00B776E0" w:rsidP="00B776E0">
      <w:pPr>
        <w:rPr>
          <w:rFonts w:ascii="Arial" w:hAnsi="Arial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eastAsia="en-GB"/>
        </w:rPr>
      </w:pPr>
      <w:r w:rsidRPr="007D0ACA">
        <w:rPr>
          <w:rFonts w:asciiTheme="minorHAnsi" w:hAnsiTheme="minorHAnsi"/>
          <w:b/>
          <w:sz w:val="28"/>
          <w:szCs w:val="28"/>
          <w:lang w:eastAsia="en-GB"/>
        </w:rPr>
        <w:t>Local Government Pension Regulations (as amended)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eastAsia="en-GB"/>
        </w:rPr>
      </w:pPr>
      <w:r w:rsidRPr="007D0ACA">
        <w:rPr>
          <w:rFonts w:asciiTheme="minorHAnsi" w:hAnsiTheme="minorHAnsi"/>
          <w:b/>
          <w:sz w:val="28"/>
          <w:szCs w:val="28"/>
          <w:lang w:eastAsia="en-GB"/>
        </w:rPr>
        <w:t>APPLICATION FOR FLEXIBLE RETIREMENT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NAME:</w:t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SCHOOL:</w:t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NATIONAL INSURANCE NO:</w:t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PAYROLL NO:</w:t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  <w:lang w:eastAsia="en-GB"/>
        </w:rPr>
      </w:pPr>
      <w:r w:rsidRPr="007D0ACA">
        <w:rPr>
          <w:rFonts w:asciiTheme="minorHAnsi" w:hAnsiTheme="minorHAnsi"/>
          <w:b/>
          <w:sz w:val="28"/>
          <w:szCs w:val="28"/>
          <w:lang w:eastAsia="en-GB"/>
        </w:rPr>
        <w:t xml:space="preserve">Part </w:t>
      </w:r>
      <w:r w:rsidR="006008E0" w:rsidRPr="007D0ACA">
        <w:rPr>
          <w:rFonts w:asciiTheme="minorHAnsi" w:hAnsiTheme="minorHAnsi"/>
          <w:b/>
          <w:sz w:val="28"/>
          <w:szCs w:val="28"/>
          <w:lang w:eastAsia="en-GB"/>
        </w:rPr>
        <w:t>O</w:t>
      </w:r>
      <w:r w:rsidRPr="007D0ACA">
        <w:rPr>
          <w:rFonts w:asciiTheme="minorHAnsi" w:hAnsiTheme="minorHAnsi"/>
          <w:b/>
          <w:sz w:val="28"/>
          <w:szCs w:val="28"/>
          <w:lang w:eastAsia="en-GB"/>
        </w:rPr>
        <w:t>ne: Employee’s declaration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Either:</w:t>
      </w: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  <w:r w:rsidRPr="007D0ACA">
        <w:rPr>
          <w:rFonts w:asciiTheme="minorHAnsi" w:hAnsiTheme="minorHAnsi"/>
          <w:szCs w:val="24"/>
          <w:lang w:eastAsia="en-GB"/>
        </w:rPr>
        <w:t>I will reduce my grade*/ working hours*/percentage* from _________ to _________.  The date for this change will be as agreed with my line manager.  If this change to my contract is agreed, I elect to receive immediate payment of my pension.</w:t>
      </w: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  <w:r w:rsidRPr="007D0ACA">
        <w:rPr>
          <w:rFonts w:asciiTheme="minorHAnsi" w:hAnsiTheme="minorHAnsi"/>
          <w:szCs w:val="24"/>
          <w:lang w:eastAsia="en-GB"/>
        </w:rPr>
        <w:t>I understand that this election will not be valid unless my employer consents to the release of my pension.</w:t>
      </w: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  <w:r w:rsidRPr="007D0ACA">
        <w:rPr>
          <w:rFonts w:asciiTheme="minorHAnsi" w:hAnsiTheme="minorHAnsi"/>
          <w:szCs w:val="24"/>
          <w:lang w:eastAsia="en-GB"/>
        </w:rPr>
        <w:t>I also understand that I may withdraw this election (and where appropriate the request to alter my contract) once I have considered my pension benefit estimate.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Or: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  <w:r w:rsidRPr="007D0ACA">
        <w:rPr>
          <w:rFonts w:asciiTheme="minorHAnsi" w:hAnsiTheme="minorHAnsi"/>
          <w:szCs w:val="24"/>
          <w:lang w:eastAsia="en-GB"/>
        </w:rPr>
        <w:t>I have reduced my grade*/ working hours*/percentage* from _________ to _________ with effect from _________20___.  I elect to receive immediate payment of my pension.</w:t>
      </w: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  <w:r w:rsidRPr="007D0ACA">
        <w:rPr>
          <w:rFonts w:asciiTheme="minorHAnsi" w:hAnsiTheme="minorHAnsi"/>
          <w:szCs w:val="24"/>
          <w:lang w:eastAsia="en-GB"/>
        </w:rPr>
        <w:t>I also understand that I may withdraw this election once I have considered my pension benefit estimate.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eastAsia="en-GB"/>
        </w:rPr>
      </w:pPr>
      <w:r w:rsidRPr="007D0ACA">
        <w:rPr>
          <w:rFonts w:asciiTheme="minorHAnsi" w:hAnsiTheme="minorHAnsi"/>
          <w:sz w:val="20"/>
          <w:lang w:eastAsia="en-GB"/>
        </w:rPr>
        <w:t>* delete as appropriate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Signed:</w:t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Default="00B776E0" w:rsidP="007D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Date:</w:t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</w:t>
      </w:r>
    </w:p>
    <w:p w:rsidR="007D0ACA" w:rsidRPr="007D0ACA" w:rsidRDefault="007D0ACA" w:rsidP="007D0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C9224A" w:rsidRPr="007D0ACA" w:rsidRDefault="00C9224A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  <w:lang w:eastAsia="en-GB"/>
        </w:rPr>
      </w:pPr>
      <w:r w:rsidRPr="007D0ACA">
        <w:rPr>
          <w:rFonts w:asciiTheme="minorHAnsi" w:hAnsiTheme="minorHAnsi"/>
          <w:b/>
          <w:sz w:val="28"/>
          <w:szCs w:val="28"/>
          <w:lang w:eastAsia="en-GB"/>
        </w:rPr>
        <w:lastRenderedPageBreak/>
        <w:t xml:space="preserve">Part </w:t>
      </w:r>
      <w:r w:rsidR="006008E0" w:rsidRPr="007D0ACA">
        <w:rPr>
          <w:rFonts w:asciiTheme="minorHAnsi" w:hAnsiTheme="minorHAnsi"/>
          <w:b/>
          <w:sz w:val="28"/>
          <w:szCs w:val="28"/>
          <w:lang w:eastAsia="en-GB"/>
        </w:rPr>
        <w:t>T</w:t>
      </w:r>
      <w:r w:rsidRPr="007D0ACA">
        <w:rPr>
          <w:rFonts w:asciiTheme="minorHAnsi" w:hAnsiTheme="minorHAnsi"/>
          <w:b/>
          <w:sz w:val="28"/>
          <w:szCs w:val="28"/>
          <w:lang w:eastAsia="en-GB"/>
        </w:rPr>
        <w:t xml:space="preserve">wo:  </w:t>
      </w:r>
      <w:r w:rsidR="005A284C" w:rsidRPr="007D0ACA">
        <w:rPr>
          <w:rFonts w:asciiTheme="minorHAnsi" w:hAnsiTheme="minorHAnsi"/>
          <w:b/>
          <w:sz w:val="28"/>
          <w:szCs w:val="28"/>
          <w:lang w:eastAsia="en-GB"/>
        </w:rPr>
        <w:t>Principal</w:t>
      </w:r>
      <w:r w:rsidR="007D0ACA">
        <w:rPr>
          <w:rFonts w:asciiTheme="minorHAnsi" w:hAnsiTheme="minorHAnsi"/>
          <w:b/>
          <w:sz w:val="28"/>
          <w:szCs w:val="28"/>
          <w:lang w:eastAsia="en-GB"/>
        </w:rPr>
        <w:t xml:space="preserve"> C</w:t>
      </w:r>
      <w:r w:rsidRPr="007D0ACA">
        <w:rPr>
          <w:rFonts w:asciiTheme="minorHAnsi" w:hAnsiTheme="minorHAnsi"/>
          <w:b/>
          <w:sz w:val="28"/>
          <w:szCs w:val="28"/>
          <w:lang w:eastAsia="en-GB"/>
        </w:rPr>
        <w:t>onsent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  <w:r w:rsidRPr="007D0ACA">
        <w:rPr>
          <w:rFonts w:asciiTheme="minorHAnsi" w:hAnsiTheme="minorHAnsi"/>
          <w:szCs w:val="24"/>
          <w:lang w:eastAsia="en-GB"/>
        </w:rPr>
        <w:t xml:space="preserve">I confirm that the school supports the changes to the contract detailed </w:t>
      </w:r>
      <w:r w:rsidR="006008E0" w:rsidRPr="007D0ACA">
        <w:rPr>
          <w:rFonts w:asciiTheme="minorHAnsi" w:hAnsiTheme="minorHAnsi"/>
          <w:szCs w:val="24"/>
          <w:lang w:eastAsia="en-GB"/>
        </w:rPr>
        <w:t>in Part One</w:t>
      </w:r>
      <w:r w:rsidRPr="007D0ACA">
        <w:rPr>
          <w:rFonts w:asciiTheme="minorHAnsi" w:hAnsiTheme="minorHAnsi"/>
          <w:szCs w:val="24"/>
          <w:lang w:eastAsia="en-GB"/>
        </w:rPr>
        <w:t xml:space="preserve"> from the date given*/date to be agreed* and supports this application for flexible retirement.</w:t>
      </w: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5A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8"/>
          <w:lang w:eastAsia="en-GB"/>
        </w:rPr>
      </w:pPr>
      <w:r w:rsidRPr="007D0ACA">
        <w:rPr>
          <w:rFonts w:asciiTheme="minorHAnsi" w:hAnsiTheme="minorHAnsi"/>
          <w:szCs w:val="28"/>
          <w:lang w:eastAsia="en-GB"/>
        </w:rPr>
        <w:t>I confirm that there will be no financial strain to the employer as a result of this retirement.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Signed:</w:t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="005A284C" w:rsidRPr="007D0ACA">
        <w:rPr>
          <w:rFonts w:asciiTheme="minorHAnsi" w:hAnsiTheme="minorHAnsi"/>
          <w:b/>
          <w:szCs w:val="24"/>
          <w:lang w:eastAsia="en-GB"/>
        </w:rPr>
        <w:t>Principal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Name:</w:t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Date:</w:t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lang w:eastAsia="en-GB"/>
        </w:rPr>
      </w:pPr>
      <w:r w:rsidRPr="007D0ACA">
        <w:rPr>
          <w:rFonts w:asciiTheme="minorHAnsi" w:hAnsiTheme="minorHAnsi"/>
          <w:sz w:val="20"/>
          <w:lang w:eastAsia="en-GB"/>
        </w:rPr>
        <w:t>* delete as appropriate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  <w:lang w:eastAsia="en-GB"/>
        </w:rPr>
      </w:pPr>
      <w:r w:rsidRPr="007D0ACA">
        <w:rPr>
          <w:rFonts w:asciiTheme="minorHAnsi" w:hAnsiTheme="minorHAnsi"/>
          <w:b/>
          <w:sz w:val="28"/>
          <w:szCs w:val="28"/>
          <w:lang w:eastAsia="en-GB"/>
        </w:rPr>
        <w:t xml:space="preserve">Part </w:t>
      </w:r>
      <w:r w:rsidR="006008E0" w:rsidRPr="007D0ACA">
        <w:rPr>
          <w:rFonts w:asciiTheme="minorHAnsi" w:hAnsiTheme="minorHAnsi"/>
          <w:b/>
          <w:sz w:val="28"/>
          <w:szCs w:val="28"/>
          <w:lang w:eastAsia="en-GB"/>
        </w:rPr>
        <w:t>T</w:t>
      </w:r>
      <w:r w:rsidR="00C9224A">
        <w:rPr>
          <w:rFonts w:asciiTheme="minorHAnsi" w:hAnsiTheme="minorHAnsi"/>
          <w:b/>
          <w:sz w:val="28"/>
          <w:szCs w:val="28"/>
          <w:lang w:eastAsia="en-GB"/>
        </w:rPr>
        <w:t>hree: Trustees</w:t>
      </w:r>
      <w:r w:rsidRPr="007D0ACA">
        <w:rPr>
          <w:rFonts w:asciiTheme="minorHAnsi" w:hAnsiTheme="minorHAnsi"/>
          <w:b/>
          <w:sz w:val="28"/>
          <w:szCs w:val="28"/>
          <w:lang w:eastAsia="en-GB"/>
        </w:rPr>
        <w:t xml:space="preserve"> Consent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8"/>
          <w:lang w:eastAsia="en-GB"/>
        </w:rPr>
      </w:pPr>
      <w:r w:rsidRPr="007D0ACA">
        <w:rPr>
          <w:rFonts w:asciiTheme="minorHAnsi" w:hAnsiTheme="minorHAnsi"/>
          <w:szCs w:val="28"/>
          <w:lang w:eastAsia="en-GB"/>
        </w:rPr>
        <w:t>I confirm that there will be no financial strain to the employer as a result of this retirement and therefore confirm acceptance of this application</w:t>
      </w:r>
      <w:r w:rsidRPr="007D0ACA">
        <w:rPr>
          <w:rFonts w:asciiTheme="minorHAnsi" w:hAnsiTheme="minorHAnsi"/>
          <w:b/>
          <w:szCs w:val="28"/>
          <w:lang w:eastAsia="en-GB"/>
        </w:rPr>
        <w:t xml:space="preserve">.  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Signed:</w:t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___________________________________________________________</w:t>
      </w:r>
    </w:p>
    <w:p w:rsidR="00B776E0" w:rsidRPr="007D0ACA" w:rsidRDefault="00C9224A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>
        <w:rPr>
          <w:rFonts w:asciiTheme="minorHAnsi" w:hAnsiTheme="minorHAnsi"/>
          <w:b/>
          <w:szCs w:val="24"/>
          <w:lang w:eastAsia="en-GB"/>
        </w:rPr>
        <w:tab/>
      </w:r>
      <w:r>
        <w:rPr>
          <w:rFonts w:asciiTheme="minorHAnsi" w:hAnsiTheme="minorHAnsi"/>
          <w:b/>
          <w:szCs w:val="24"/>
          <w:lang w:eastAsia="en-GB"/>
        </w:rPr>
        <w:tab/>
        <w:t>Chair of Trustees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Name:</w:t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___________________________________________________________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  <w:r w:rsidRPr="007D0ACA">
        <w:rPr>
          <w:rFonts w:asciiTheme="minorHAnsi" w:hAnsiTheme="minorHAnsi"/>
          <w:b/>
          <w:szCs w:val="24"/>
          <w:lang w:eastAsia="en-GB"/>
        </w:rPr>
        <w:t>Date:</w:t>
      </w:r>
      <w:r w:rsidRPr="007D0ACA">
        <w:rPr>
          <w:rFonts w:asciiTheme="minorHAnsi" w:hAnsiTheme="minorHAnsi"/>
          <w:b/>
          <w:szCs w:val="24"/>
          <w:lang w:eastAsia="en-GB"/>
        </w:rPr>
        <w:tab/>
      </w:r>
      <w:r w:rsidRPr="007D0ACA">
        <w:rPr>
          <w:rFonts w:asciiTheme="minorHAnsi" w:hAnsiTheme="minorHAnsi"/>
          <w:b/>
          <w:szCs w:val="24"/>
          <w:lang w:eastAsia="en-GB"/>
        </w:rPr>
        <w:tab/>
        <w:t>_____________________________</w:t>
      </w: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B776E0" w:rsidRPr="007D0ACA" w:rsidRDefault="00B776E0" w:rsidP="00B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  <w:lang w:eastAsia="en-GB"/>
        </w:rPr>
      </w:pPr>
    </w:p>
    <w:p w:rsidR="00657404" w:rsidRPr="007D0ACA" w:rsidRDefault="00657404" w:rsidP="00657404">
      <w:pPr>
        <w:pStyle w:val="Footer"/>
        <w:rPr>
          <w:rFonts w:asciiTheme="minorHAnsi" w:hAnsiTheme="minorHAnsi"/>
          <w:sz w:val="16"/>
        </w:rPr>
      </w:pPr>
      <w:r w:rsidRPr="007D0ACA">
        <w:rPr>
          <w:rFonts w:asciiTheme="minorHAnsi" w:hAnsiTheme="minorHAnsi"/>
          <w:sz w:val="16"/>
        </w:rPr>
        <w:tab/>
        <w:t xml:space="preserve"> </w:t>
      </w:r>
    </w:p>
    <w:sectPr w:rsidR="00657404" w:rsidRPr="007D0ACA" w:rsidSect="00D275E3">
      <w:footerReference w:type="default" r:id="rId10"/>
      <w:pgSz w:w="11906" w:h="16838"/>
      <w:pgMar w:top="1440" w:right="99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E3" w:rsidRDefault="00D275E3" w:rsidP="00186155">
      <w:r>
        <w:separator/>
      </w:r>
    </w:p>
  </w:endnote>
  <w:endnote w:type="continuationSeparator" w:id="0">
    <w:p w:rsidR="00D275E3" w:rsidRDefault="00D275E3" w:rsidP="0018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E3" w:rsidRDefault="00D275E3">
    <w:pPr>
      <w:pStyle w:val="Footer"/>
      <w:jc w:val="right"/>
    </w:pPr>
  </w:p>
  <w:p w:rsidR="00D275E3" w:rsidRPr="00186155" w:rsidRDefault="00D275E3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ACA" w:rsidRDefault="007D0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3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75E3" w:rsidRPr="00657404" w:rsidRDefault="00D275E3" w:rsidP="0065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E3" w:rsidRDefault="00D275E3" w:rsidP="00186155">
      <w:r>
        <w:separator/>
      </w:r>
    </w:p>
  </w:footnote>
  <w:footnote w:type="continuationSeparator" w:id="0">
    <w:p w:rsidR="00D275E3" w:rsidRDefault="00D275E3" w:rsidP="0018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398"/>
    <w:multiLevelType w:val="hybridMultilevel"/>
    <w:tmpl w:val="F2D8084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89E"/>
    <w:multiLevelType w:val="multilevel"/>
    <w:tmpl w:val="6688CBC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2B43695E"/>
    <w:multiLevelType w:val="hybridMultilevel"/>
    <w:tmpl w:val="98DE0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4E68"/>
    <w:multiLevelType w:val="hybridMultilevel"/>
    <w:tmpl w:val="53962730"/>
    <w:lvl w:ilvl="0" w:tplc="E29CFE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7355"/>
    <w:multiLevelType w:val="hybridMultilevel"/>
    <w:tmpl w:val="A0823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0774"/>
    <w:multiLevelType w:val="hybridMultilevel"/>
    <w:tmpl w:val="9F92189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851CA"/>
    <w:multiLevelType w:val="multilevel"/>
    <w:tmpl w:val="D6F2B60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4E46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56A30500"/>
    <w:multiLevelType w:val="hybridMultilevel"/>
    <w:tmpl w:val="EB8AD5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74230F"/>
    <w:multiLevelType w:val="hybridMultilevel"/>
    <w:tmpl w:val="D47EA0BA"/>
    <w:lvl w:ilvl="0" w:tplc="1E6097E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496D"/>
    <w:multiLevelType w:val="hybridMultilevel"/>
    <w:tmpl w:val="5A6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7544E"/>
    <w:multiLevelType w:val="hybridMultilevel"/>
    <w:tmpl w:val="9FB210B0"/>
    <w:lvl w:ilvl="0" w:tplc="9E20A57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C57A1"/>
    <w:multiLevelType w:val="multilevel"/>
    <w:tmpl w:val="2D64D5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D"/>
    <w:rsid w:val="00012D6E"/>
    <w:rsid w:val="00026395"/>
    <w:rsid w:val="000614D1"/>
    <w:rsid w:val="00061CC2"/>
    <w:rsid w:val="00063826"/>
    <w:rsid w:val="000964B0"/>
    <w:rsid w:val="0009700F"/>
    <w:rsid w:val="000D2041"/>
    <w:rsid w:val="0010650C"/>
    <w:rsid w:val="00110BAC"/>
    <w:rsid w:val="001170FA"/>
    <w:rsid w:val="00171AE6"/>
    <w:rsid w:val="001725AE"/>
    <w:rsid w:val="00186155"/>
    <w:rsid w:val="001909D3"/>
    <w:rsid w:val="001917D0"/>
    <w:rsid w:val="00297632"/>
    <w:rsid w:val="002D657F"/>
    <w:rsid w:val="003036D6"/>
    <w:rsid w:val="003159CE"/>
    <w:rsid w:val="0037010F"/>
    <w:rsid w:val="00375E5C"/>
    <w:rsid w:val="00376750"/>
    <w:rsid w:val="00383634"/>
    <w:rsid w:val="003B2774"/>
    <w:rsid w:val="003E3020"/>
    <w:rsid w:val="00431793"/>
    <w:rsid w:val="004350A5"/>
    <w:rsid w:val="0045786B"/>
    <w:rsid w:val="00476BA7"/>
    <w:rsid w:val="004C31D5"/>
    <w:rsid w:val="004D2E1C"/>
    <w:rsid w:val="004D484E"/>
    <w:rsid w:val="004E4820"/>
    <w:rsid w:val="0054346A"/>
    <w:rsid w:val="0056183D"/>
    <w:rsid w:val="0059001A"/>
    <w:rsid w:val="005A284C"/>
    <w:rsid w:val="006008E0"/>
    <w:rsid w:val="0060107C"/>
    <w:rsid w:val="00657404"/>
    <w:rsid w:val="00694110"/>
    <w:rsid w:val="007119DA"/>
    <w:rsid w:val="00713206"/>
    <w:rsid w:val="00720265"/>
    <w:rsid w:val="00720C0B"/>
    <w:rsid w:val="00767386"/>
    <w:rsid w:val="00784C4E"/>
    <w:rsid w:val="007A37F6"/>
    <w:rsid w:val="007A4172"/>
    <w:rsid w:val="007A46A1"/>
    <w:rsid w:val="007A4A74"/>
    <w:rsid w:val="007C6567"/>
    <w:rsid w:val="007D0ACA"/>
    <w:rsid w:val="007E660D"/>
    <w:rsid w:val="0083793A"/>
    <w:rsid w:val="00843FF9"/>
    <w:rsid w:val="00867539"/>
    <w:rsid w:val="00883DEF"/>
    <w:rsid w:val="008866BF"/>
    <w:rsid w:val="00897B1E"/>
    <w:rsid w:val="008A216C"/>
    <w:rsid w:val="00906C16"/>
    <w:rsid w:val="009364D9"/>
    <w:rsid w:val="00957904"/>
    <w:rsid w:val="009655E7"/>
    <w:rsid w:val="009935EC"/>
    <w:rsid w:val="00A134BD"/>
    <w:rsid w:val="00A31F6B"/>
    <w:rsid w:val="00A52649"/>
    <w:rsid w:val="00B2779F"/>
    <w:rsid w:val="00B30C59"/>
    <w:rsid w:val="00B353DF"/>
    <w:rsid w:val="00B776E0"/>
    <w:rsid w:val="00BA2F71"/>
    <w:rsid w:val="00C14F84"/>
    <w:rsid w:val="00C1606D"/>
    <w:rsid w:val="00C27B83"/>
    <w:rsid w:val="00C5671A"/>
    <w:rsid w:val="00C9224A"/>
    <w:rsid w:val="00C9229C"/>
    <w:rsid w:val="00C96DC7"/>
    <w:rsid w:val="00CA0361"/>
    <w:rsid w:val="00CA528B"/>
    <w:rsid w:val="00CC3811"/>
    <w:rsid w:val="00D275E3"/>
    <w:rsid w:val="00D31D02"/>
    <w:rsid w:val="00D35C92"/>
    <w:rsid w:val="00D95D69"/>
    <w:rsid w:val="00D96B96"/>
    <w:rsid w:val="00DC2592"/>
    <w:rsid w:val="00DD0AFD"/>
    <w:rsid w:val="00DD3647"/>
    <w:rsid w:val="00E3228B"/>
    <w:rsid w:val="00E500CA"/>
    <w:rsid w:val="00EB7DBD"/>
    <w:rsid w:val="00ED0976"/>
    <w:rsid w:val="00ED1AB2"/>
    <w:rsid w:val="00ED2507"/>
    <w:rsid w:val="00ED5D9F"/>
    <w:rsid w:val="00F12B9E"/>
    <w:rsid w:val="00F42F8B"/>
    <w:rsid w:val="00F44D2D"/>
    <w:rsid w:val="00F84588"/>
    <w:rsid w:val="00FE5FBC"/>
    <w:rsid w:val="00FF0960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3FF3B57-7C42-459E-A680-1967996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0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06D"/>
    <w:pPr>
      <w:spacing w:after="0" w:line="240" w:lineRule="auto"/>
    </w:pPr>
  </w:style>
  <w:style w:type="table" w:styleId="TableGrid">
    <w:name w:val="Table Grid"/>
    <w:basedOn w:val="TableNormal"/>
    <w:uiPriority w:val="59"/>
    <w:rsid w:val="0037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A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15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5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D5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4F84"/>
    <w:pPr>
      <w:tabs>
        <w:tab w:val="left" w:pos="480"/>
        <w:tab w:val="right" w:leader="dot" w:pos="15299"/>
      </w:tabs>
      <w:spacing w:before="360"/>
      <w:ind w:left="482" w:hanging="482"/>
    </w:pPr>
    <w:rPr>
      <w:rFonts w:asciiTheme="majorHAnsi" w:hAnsiTheme="majorHAnsi"/>
      <w:b/>
      <w:bCs/>
      <w:caps/>
      <w:szCs w:val="24"/>
    </w:rPr>
  </w:style>
  <w:style w:type="character" w:styleId="Hyperlink">
    <w:name w:val="Hyperlink"/>
    <w:basedOn w:val="DefaultParagraphFont"/>
    <w:uiPriority w:val="99"/>
    <w:unhideWhenUsed/>
    <w:rsid w:val="003159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159CE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59CE"/>
    <w:pPr>
      <w:spacing w:before="240"/>
    </w:pPr>
    <w:rPr>
      <w:rFonts w:asciiTheme="minorHAnsi" w:hAnsi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59CE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C14F84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C14F84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C14F84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C14F84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C14F84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C14F84"/>
    <w:pPr>
      <w:ind w:left="1680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A65C-524D-4968-A607-78EE1E07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paul.moore</dc:creator>
  <cp:lastModifiedBy>Neil Houchen</cp:lastModifiedBy>
  <cp:revision>3</cp:revision>
  <cp:lastPrinted>2016-06-28T08:52:00Z</cp:lastPrinted>
  <dcterms:created xsi:type="dcterms:W3CDTF">2017-02-09T09:52:00Z</dcterms:created>
  <dcterms:modified xsi:type="dcterms:W3CDTF">2017-06-22T11:53:00Z</dcterms:modified>
</cp:coreProperties>
</file>