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4E" w:rsidRDefault="00A0334E" w:rsidP="008C2BED">
      <w:pPr>
        <w:rPr>
          <w:b/>
          <w:sz w:val="24"/>
          <w:szCs w:val="24"/>
        </w:rPr>
      </w:pPr>
    </w:p>
    <w:p w:rsidR="009F59D3" w:rsidRPr="009F59D3" w:rsidRDefault="009F59D3" w:rsidP="008C2BED">
      <w:pPr>
        <w:rPr>
          <w:b/>
          <w:sz w:val="24"/>
          <w:szCs w:val="24"/>
        </w:rPr>
      </w:pPr>
    </w:p>
    <w:p w:rsidR="008C2BED" w:rsidRDefault="007E7397" w:rsidP="008C2BED">
      <w:pPr>
        <w:jc w:val="center"/>
        <w:rPr>
          <w:rFonts w:cs="Arial"/>
          <w:sz w:val="72"/>
          <w:szCs w:val="72"/>
        </w:rPr>
      </w:pPr>
      <w:r>
        <w:rPr>
          <w:rFonts w:cs="Arial"/>
          <w:sz w:val="72"/>
          <w:szCs w:val="72"/>
        </w:rPr>
        <w:t>Mental Health</w:t>
      </w:r>
      <w:r w:rsidR="008C2BED" w:rsidRPr="003725BD">
        <w:rPr>
          <w:rFonts w:cs="Arial"/>
          <w:sz w:val="72"/>
          <w:szCs w:val="72"/>
        </w:rPr>
        <w:t xml:space="preserve"> Policy</w:t>
      </w:r>
    </w:p>
    <w:p w:rsidR="008C2BED" w:rsidRPr="00BF5DAC" w:rsidRDefault="008C2BED" w:rsidP="00BF5DAC">
      <w:pPr>
        <w:pStyle w:val="NoSpacing"/>
      </w:pPr>
    </w:p>
    <w:p w:rsidR="00BF5DAC" w:rsidRDefault="008C2BED" w:rsidP="00BF5DAC">
      <w:pPr>
        <w:jc w:val="center"/>
        <w:rPr>
          <w:rFonts w:cs="Arial"/>
          <w:sz w:val="28"/>
          <w:szCs w:val="28"/>
        </w:rPr>
      </w:pPr>
      <w:r w:rsidRPr="00F53CC8">
        <w:rPr>
          <w:rFonts w:cs="Arial"/>
          <w:noProof/>
          <w:sz w:val="28"/>
          <w:szCs w:val="28"/>
        </w:rPr>
        <w:drawing>
          <wp:inline distT="0" distB="0" distL="0" distR="0" wp14:anchorId="4BF92B14" wp14:editId="30F6690C">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p w:rsidR="00BF5DAC" w:rsidRDefault="00BF5DAC" w:rsidP="00BF5DAC">
      <w:pPr>
        <w:pStyle w:val="NoSpacing"/>
      </w:pPr>
    </w:p>
    <w:p w:rsidR="00F531C8" w:rsidRPr="003725BD" w:rsidRDefault="00F531C8" w:rsidP="00BF5DAC">
      <w:pPr>
        <w:pStyle w:val="NoSpacing"/>
      </w:pPr>
    </w:p>
    <w:tbl>
      <w:tblPr>
        <w:tblStyle w:val="TableGrid"/>
        <w:tblW w:w="0" w:type="auto"/>
        <w:jc w:val="center"/>
        <w:tblLook w:val="04A0" w:firstRow="1" w:lastRow="0" w:firstColumn="1" w:lastColumn="0" w:noHBand="0" w:noVBand="1"/>
      </w:tblPr>
      <w:tblGrid>
        <w:gridCol w:w="4428"/>
        <w:gridCol w:w="4428"/>
      </w:tblGrid>
      <w:tr w:rsidR="008C2BED" w:rsidRPr="009B7134" w:rsidTr="00A03E00">
        <w:trPr>
          <w:jc w:val="center"/>
        </w:trPr>
        <w:tc>
          <w:tcPr>
            <w:tcW w:w="4428" w:type="dxa"/>
          </w:tcPr>
          <w:p w:rsidR="008C2BED" w:rsidRPr="009B7134" w:rsidRDefault="008C2BED" w:rsidP="00A03E00">
            <w:pPr>
              <w:rPr>
                <w:rFonts w:cs="Arial"/>
              </w:rPr>
            </w:pPr>
            <w:r w:rsidRPr="009B7134">
              <w:rPr>
                <w:rFonts w:cs="Arial"/>
              </w:rPr>
              <w:t xml:space="preserve">Author’s Name: </w:t>
            </w:r>
          </w:p>
        </w:tc>
        <w:tc>
          <w:tcPr>
            <w:tcW w:w="4428" w:type="dxa"/>
          </w:tcPr>
          <w:p w:rsidR="008C2BED" w:rsidRPr="009B7134" w:rsidRDefault="008C2BED" w:rsidP="00A03E00">
            <w:pPr>
              <w:rPr>
                <w:rFonts w:cs="Arial"/>
              </w:rPr>
            </w:pPr>
            <w:r>
              <w:rPr>
                <w:rFonts w:cs="Arial"/>
              </w:rPr>
              <w:t>Mr. N.</w:t>
            </w:r>
            <w:r w:rsidRPr="009B7134">
              <w:rPr>
                <w:rFonts w:cs="Arial"/>
              </w:rPr>
              <w:t xml:space="preserve"> Houchen</w:t>
            </w:r>
          </w:p>
        </w:tc>
      </w:tr>
      <w:tr w:rsidR="008C2BED" w:rsidRPr="009B7134" w:rsidTr="00A03E00">
        <w:trPr>
          <w:jc w:val="center"/>
        </w:trPr>
        <w:tc>
          <w:tcPr>
            <w:tcW w:w="4428" w:type="dxa"/>
          </w:tcPr>
          <w:p w:rsidR="008C2BED" w:rsidRPr="009B7134" w:rsidRDefault="008C2BED" w:rsidP="00A03E00">
            <w:pPr>
              <w:rPr>
                <w:rFonts w:cs="Arial"/>
              </w:rPr>
            </w:pPr>
            <w:r w:rsidRPr="009B7134">
              <w:rPr>
                <w:rFonts w:cs="Arial"/>
              </w:rPr>
              <w:t>Date Reviewed</w:t>
            </w:r>
          </w:p>
        </w:tc>
        <w:tc>
          <w:tcPr>
            <w:tcW w:w="4428" w:type="dxa"/>
          </w:tcPr>
          <w:p w:rsidR="008C2BED" w:rsidRPr="009B7134" w:rsidRDefault="009F59D3" w:rsidP="00A03E00">
            <w:pPr>
              <w:rPr>
                <w:rFonts w:cs="Arial"/>
              </w:rPr>
            </w:pPr>
            <w:r>
              <w:rPr>
                <w:rFonts w:cs="Arial"/>
              </w:rPr>
              <w:t>June 2017</w:t>
            </w:r>
          </w:p>
        </w:tc>
      </w:tr>
      <w:tr w:rsidR="008C2BED" w:rsidRPr="009B7134" w:rsidTr="00A03E00">
        <w:trPr>
          <w:jc w:val="center"/>
        </w:trPr>
        <w:tc>
          <w:tcPr>
            <w:tcW w:w="4428" w:type="dxa"/>
            <w:tcBorders>
              <w:bottom w:val="single" w:sz="4" w:space="0" w:color="auto"/>
            </w:tcBorders>
          </w:tcPr>
          <w:p w:rsidR="008C2BED" w:rsidRPr="009B7134" w:rsidRDefault="000624AA" w:rsidP="00A03E00">
            <w:pPr>
              <w:rPr>
                <w:rFonts w:cs="Arial"/>
              </w:rPr>
            </w:pPr>
            <w:r>
              <w:rPr>
                <w:rFonts w:cs="Arial"/>
              </w:rPr>
              <w:t>Date Ratified by Trust</w:t>
            </w:r>
          </w:p>
        </w:tc>
        <w:tc>
          <w:tcPr>
            <w:tcW w:w="4428" w:type="dxa"/>
            <w:tcBorders>
              <w:bottom w:val="single" w:sz="4" w:space="0" w:color="auto"/>
            </w:tcBorders>
          </w:tcPr>
          <w:p w:rsidR="008C2BED" w:rsidRPr="009B7134" w:rsidRDefault="008C2BED" w:rsidP="00A03E00">
            <w:pPr>
              <w:rPr>
                <w:rFonts w:cs="Arial"/>
              </w:rPr>
            </w:pPr>
          </w:p>
        </w:tc>
      </w:tr>
      <w:tr w:rsidR="008C2BED" w:rsidRPr="009B7134" w:rsidTr="00A03E00">
        <w:trPr>
          <w:jc w:val="center"/>
        </w:trPr>
        <w:tc>
          <w:tcPr>
            <w:tcW w:w="4428" w:type="dxa"/>
            <w:shd w:val="pct12" w:color="auto" w:fill="auto"/>
          </w:tcPr>
          <w:p w:rsidR="008C2BED" w:rsidRPr="009B7134" w:rsidRDefault="008C2BED" w:rsidP="00A03E00">
            <w:pPr>
              <w:rPr>
                <w:rFonts w:cs="Arial"/>
              </w:rPr>
            </w:pPr>
          </w:p>
        </w:tc>
        <w:tc>
          <w:tcPr>
            <w:tcW w:w="4428" w:type="dxa"/>
            <w:shd w:val="pct12" w:color="auto" w:fill="auto"/>
          </w:tcPr>
          <w:p w:rsidR="008C2BED" w:rsidRPr="009B7134" w:rsidRDefault="008C2BED" w:rsidP="00A03E00">
            <w:pPr>
              <w:rPr>
                <w:rFonts w:cs="Arial"/>
              </w:rPr>
            </w:pPr>
          </w:p>
        </w:tc>
      </w:tr>
      <w:tr w:rsidR="008C2BED" w:rsidRPr="009B7134" w:rsidTr="00A03E00">
        <w:trPr>
          <w:jc w:val="center"/>
        </w:trPr>
        <w:tc>
          <w:tcPr>
            <w:tcW w:w="4428" w:type="dxa"/>
          </w:tcPr>
          <w:p w:rsidR="008C2BED" w:rsidRPr="009B7134" w:rsidRDefault="000624AA" w:rsidP="00A03E00">
            <w:pPr>
              <w:rPr>
                <w:rFonts w:cs="Arial"/>
              </w:rPr>
            </w:pPr>
            <w:r>
              <w:rPr>
                <w:rFonts w:cs="Arial"/>
              </w:rPr>
              <w:t>Signature of CEO</w:t>
            </w:r>
          </w:p>
        </w:tc>
        <w:tc>
          <w:tcPr>
            <w:tcW w:w="4428" w:type="dxa"/>
          </w:tcPr>
          <w:p w:rsidR="008C2BED" w:rsidRPr="009B7134" w:rsidRDefault="008C2BED" w:rsidP="00A03E00">
            <w:pPr>
              <w:rPr>
                <w:rFonts w:cs="Arial"/>
              </w:rPr>
            </w:pPr>
          </w:p>
        </w:tc>
      </w:tr>
      <w:tr w:rsidR="008C2BED" w:rsidRPr="009B7134" w:rsidTr="00A03E00">
        <w:trPr>
          <w:jc w:val="center"/>
        </w:trPr>
        <w:tc>
          <w:tcPr>
            <w:tcW w:w="4428" w:type="dxa"/>
          </w:tcPr>
          <w:p w:rsidR="008C2BED" w:rsidRPr="009B7134" w:rsidRDefault="000624AA" w:rsidP="00A03E00">
            <w:pPr>
              <w:rPr>
                <w:rFonts w:cs="Arial"/>
              </w:rPr>
            </w:pPr>
            <w:r>
              <w:rPr>
                <w:rFonts w:cs="Arial"/>
              </w:rPr>
              <w:t>Signature of Chair of Trust</w:t>
            </w:r>
            <w:bookmarkStart w:id="0" w:name="_GoBack"/>
            <w:bookmarkEnd w:id="0"/>
          </w:p>
        </w:tc>
        <w:tc>
          <w:tcPr>
            <w:tcW w:w="4428" w:type="dxa"/>
          </w:tcPr>
          <w:p w:rsidR="008C2BED" w:rsidRPr="009B7134" w:rsidRDefault="008C2BED" w:rsidP="00A03E00">
            <w:pPr>
              <w:rPr>
                <w:rFonts w:cs="Arial"/>
              </w:rPr>
            </w:pPr>
          </w:p>
        </w:tc>
      </w:tr>
    </w:tbl>
    <w:p w:rsidR="008C2BED" w:rsidRPr="009B7134" w:rsidRDefault="008C2BED" w:rsidP="008C2BED">
      <w:pPr>
        <w:rPr>
          <w:rFonts w:cs="Arial"/>
        </w:rPr>
      </w:pPr>
    </w:p>
    <w:p w:rsidR="008C2BED" w:rsidRDefault="008C2BED" w:rsidP="008C2BED">
      <w:pPr>
        <w:rPr>
          <w:rFonts w:cs="Arial"/>
          <w:sz w:val="28"/>
          <w:szCs w:val="28"/>
        </w:rPr>
      </w:pPr>
    </w:p>
    <w:p w:rsidR="00E32748" w:rsidRDefault="00E32748" w:rsidP="008C2BED">
      <w:pPr>
        <w:rPr>
          <w:rFonts w:cs="Arial"/>
          <w:sz w:val="28"/>
          <w:szCs w:val="28"/>
        </w:rPr>
      </w:pPr>
    </w:p>
    <w:sdt>
      <w:sdtPr>
        <w:rPr>
          <w:rFonts w:asciiTheme="minorHAnsi" w:eastAsiaTheme="minorEastAsia" w:hAnsiTheme="minorHAnsi" w:cstheme="minorBidi"/>
          <w:b w:val="0"/>
          <w:bCs w:val="0"/>
          <w:color w:val="auto"/>
          <w:sz w:val="22"/>
          <w:szCs w:val="22"/>
          <w:lang w:val="en-GB"/>
        </w:rPr>
        <w:id w:val="-544908621"/>
        <w:docPartObj>
          <w:docPartGallery w:val="Table of Contents"/>
          <w:docPartUnique/>
        </w:docPartObj>
      </w:sdtPr>
      <w:sdtEndPr>
        <w:rPr>
          <w:noProof/>
        </w:rPr>
      </w:sdtEndPr>
      <w:sdtContent>
        <w:p w:rsidR="00E32748" w:rsidRPr="00E32748" w:rsidRDefault="00E32748" w:rsidP="00E32748">
          <w:pPr>
            <w:pStyle w:val="TOCHeading"/>
            <w:jc w:val="center"/>
            <w:rPr>
              <w:rFonts w:asciiTheme="minorHAnsi" w:hAnsiTheme="minorHAnsi"/>
              <w:color w:val="auto"/>
            </w:rPr>
          </w:pPr>
          <w:r w:rsidRPr="00E32748">
            <w:rPr>
              <w:rFonts w:asciiTheme="minorHAnsi" w:hAnsiTheme="minorHAnsi"/>
              <w:color w:val="auto"/>
            </w:rPr>
            <w:t>Contents</w:t>
          </w:r>
        </w:p>
        <w:p w:rsidR="00E32748" w:rsidRDefault="00E32748">
          <w:pPr>
            <w:pStyle w:val="TOC1"/>
            <w:tabs>
              <w:tab w:val="left" w:pos="660"/>
              <w:tab w:val="right" w:leader="dot" w:pos="13948"/>
            </w:tabs>
            <w:rPr>
              <w:noProof/>
            </w:rPr>
          </w:pPr>
          <w:r>
            <w:fldChar w:fldCharType="begin"/>
          </w:r>
          <w:r>
            <w:instrText xml:space="preserve"> TOC \o "1-3" \h \z \u </w:instrText>
          </w:r>
          <w:r>
            <w:fldChar w:fldCharType="separate"/>
          </w:r>
          <w:hyperlink w:anchor="_Toc453926506" w:history="1">
            <w:r w:rsidRPr="00565A6F">
              <w:rPr>
                <w:rStyle w:val="Hyperlink"/>
                <w:noProof/>
              </w:rPr>
              <w:t>1.0</w:t>
            </w:r>
            <w:r>
              <w:rPr>
                <w:noProof/>
              </w:rPr>
              <w:tab/>
            </w:r>
            <w:r w:rsidRPr="00565A6F">
              <w:rPr>
                <w:rStyle w:val="Hyperlink"/>
                <w:noProof/>
              </w:rPr>
              <w:t>Introduction</w:t>
            </w:r>
            <w:r>
              <w:rPr>
                <w:noProof/>
                <w:webHidden/>
              </w:rPr>
              <w:tab/>
            </w:r>
            <w:r>
              <w:rPr>
                <w:noProof/>
                <w:webHidden/>
              </w:rPr>
              <w:fldChar w:fldCharType="begin"/>
            </w:r>
            <w:r>
              <w:rPr>
                <w:noProof/>
                <w:webHidden/>
              </w:rPr>
              <w:instrText xml:space="preserve"> PAGEREF _Toc453926506 \h </w:instrText>
            </w:r>
            <w:r>
              <w:rPr>
                <w:noProof/>
                <w:webHidden/>
              </w:rPr>
            </w:r>
            <w:r>
              <w:rPr>
                <w:noProof/>
                <w:webHidden/>
              </w:rPr>
              <w:fldChar w:fldCharType="separate"/>
            </w:r>
            <w:r w:rsidR="00DF56B0">
              <w:rPr>
                <w:noProof/>
                <w:webHidden/>
              </w:rPr>
              <w:t>3</w:t>
            </w:r>
            <w:r>
              <w:rPr>
                <w:noProof/>
                <w:webHidden/>
              </w:rPr>
              <w:fldChar w:fldCharType="end"/>
            </w:r>
          </w:hyperlink>
        </w:p>
        <w:p w:rsidR="00E32748" w:rsidRDefault="000624AA">
          <w:pPr>
            <w:pStyle w:val="TOC1"/>
            <w:tabs>
              <w:tab w:val="left" w:pos="660"/>
              <w:tab w:val="right" w:leader="dot" w:pos="13948"/>
            </w:tabs>
            <w:rPr>
              <w:noProof/>
            </w:rPr>
          </w:pPr>
          <w:hyperlink w:anchor="_Toc453926507" w:history="1">
            <w:r w:rsidR="00E32748" w:rsidRPr="00565A6F">
              <w:rPr>
                <w:rStyle w:val="Hyperlink"/>
                <w:noProof/>
              </w:rPr>
              <w:t>2.0</w:t>
            </w:r>
            <w:r w:rsidR="00E32748">
              <w:rPr>
                <w:noProof/>
              </w:rPr>
              <w:tab/>
            </w:r>
            <w:r w:rsidR="00E32748" w:rsidRPr="00565A6F">
              <w:rPr>
                <w:rStyle w:val="Hyperlink"/>
                <w:noProof/>
              </w:rPr>
              <w:t>Pupils at Risk</w:t>
            </w:r>
            <w:r w:rsidR="00E32748">
              <w:rPr>
                <w:noProof/>
                <w:webHidden/>
              </w:rPr>
              <w:tab/>
            </w:r>
            <w:r w:rsidR="00E32748">
              <w:rPr>
                <w:noProof/>
                <w:webHidden/>
              </w:rPr>
              <w:fldChar w:fldCharType="begin"/>
            </w:r>
            <w:r w:rsidR="00E32748">
              <w:rPr>
                <w:noProof/>
                <w:webHidden/>
              </w:rPr>
              <w:instrText xml:space="preserve"> PAGEREF _Toc453926507 \h </w:instrText>
            </w:r>
            <w:r w:rsidR="00E32748">
              <w:rPr>
                <w:noProof/>
                <w:webHidden/>
              </w:rPr>
            </w:r>
            <w:r w:rsidR="00E32748">
              <w:rPr>
                <w:noProof/>
                <w:webHidden/>
              </w:rPr>
              <w:fldChar w:fldCharType="separate"/>
            </w:r>
            <w:r w:rsidR="00DF56B0">
              <w:rPr>
                <w:noProof/>
                <w:webHidden/>
              </w:rPr>
              <w:t>3</w:t>
            </w:r>
            <w:r w:rsidR="00E32748">
              <w:rPr>
                <w:noProof/>
                <w:webHidden/>
              </w:rPr>
              <w:fldChar w:fldCharType="end"/>
            </w:r>
          </w:hyperlink>
        </w:p>
        <w:p w:rsidR="00E32748" w:rsidRDefault="000624AA">
          <w:pPr>
            <w:pStyle w:val="TOC1"/>
            <w:tabs>
              <w:tab w:val="left" w:pos="660"/>
              <w:tab w:val="right" w:leader="dot" w:pos="13948"/>
            </w:tabs>
            <w:rPr>
              <w:noProof/>
            </w:rPr>
          </w:pPr>
          <w:hyperlink w:anchor="_Toc453926508" w:history="1">
            <w:r w:rsidR="00E32748" w:rsidRPr="00565A6F">
              <w:rPr>
                <w:rStyle w:val="Hyperlink"/>
                <w:noProof/>
              </w:rPr>
              <w:t>3.0</w:t>
            </w:r>
            <w:r w:rsidR="00E32748">
              <w:rPr>
                <w:noProof/>
              </w:rPr>
              <w:tab/>
            </w:r>
            <w:r w:rsidR="00E32748" w:rsidRPr="00565A6F">
              <w:rPr>
                <w:rStyle w:val="Hyperlink"/>
                <w:noProof/>
              </w:rPr>
              <w:t>Minimising the Risk</w:t>
            </w:r>
            <w:r w:rsidR="00E32748">
              <w:rPr>
                <w:noProof/>
                <w:webHidden/>
              </w:rPr>
              <w:tab/>
            </w:r>
            <w:r w:rsidR="00E32748">
              <w:rPr>
                <w:noProof/>
                <w:webHidden/>
              </w:rPr>
              <w:fldChar w:fldCharType="begin"/>
            </w:r>
            <w:r w:rsidR="00E32748">
              <w:rPr>
                <w:noProof/>
                <w:webHidden/>
              </w:rPr>
              <w:instrText xml:space="preserve"> PAGEREF _Toc453926508 \h </w:instrText>
            </w:r>
            <w:r w:rsidR="00E32748">
              <w:rPr>
                <w:noProof/>
                <w:webHidden/>
              </w:rPr>
            </w:r>
            <w:r w:rsidR="00E32748">
              <w:rPr>
                <w:noProof/>
                <w:webHidden/>
              </w:rPr>
              <w:fldChar w:fldCharType="separate"/>
            </w:r>
            <w:r w:rsidR="00DF56B0">
              <w:rPr>
                <w:noProof/>
                <w:webHidden/>
              </w:rPr>
              <w:t>3</w:t>
            </w:r>
            <w:r w:rsidR="00E32748">
              <w:rPr>
                <w:noProof/>
                <w:webHidden/>
              </w:rPr>
              <w:fldChar w:fldCharType="end"/>
            </w:r>
          </w:hyperlink>
        </w:p>
        <w:p w:rsidR="00E32748" w:rsidRDefault="000624AA">
          <w:pPr>
            <w:pStyle w:val="TOC1"/>
            <w:tabs>
              <w:tab w:val="left" w:pos="660"/>
              <w:tab w:val="right" w:leader="dot" w:pos="13948"/>
            </w:tabs>
            <w:rPr>
              <w:noProof/>
            </w:rPr>
          </w:pPr>
          <w:hyperlink w:anchor="_Toc453926509" w:history="1">
            <w:r w:rsidR="00E32748" w:rsidRPr="00565A6F">
              <w:rPr>
                <w:rStyle w:val="Hyperlink"/>
                <w:noProof/>
              </w:rPr>
              <w:t>4.0</w:t>
            </w:r>
            <w:r w:rsidR="00E32748">
              <w:rPr>
                <w:noProof/>
              </w:rPr>
              <w:tab/>
            </w:r>
            <w:r w:rsidR="00E32748" w:rsidRPr="00565A6F">
              <w:rPr>
                <w:rStyle w:val="Hyperlink"/>
                <w:noProof/>
              </w:rPr>
              <w:t>Resilience</w:t>
            </w:r>
            <w:r w:rsidR="00E32748">
              <w:rPr>
                <w:noProof/>
                <w:webHidden/>
              </w:rPr>
              <w:tab/>
            </w:r>
            <w:r w:rsidR="00E32748">
              <w:rPr>
                <w:noProof/>
                <w:webHidden/>
              </w:rPr>
              <w:fldChar w:fldCharType="begin"/>
            </w:r>
            <w:r w:rsidR="00E32748">
              <w:rPr>
                <w:noProof/>
                <w:webHidden/>
              </w:rPr>
              <w:instrText xml:space="preserve"> PAGEREF _Toc453926509 \h </w:instrText>
            </w:r>
            <w:r w:rsidR="00E32748">
              <w:rPr>
                <w:noProof/>
                <w:webHidden/>
              </w:rPr>
            </w:r>
            <w:r w:rsidR="00E32748">
              <w:rPr>
                <w:noProof/>
                <w:webHidden/>
              </w:rPr>
              <w:fldChar w:fldCharType="separate"/>
            </w:r>
            <w:r w:rsidR="00DF56B0">
              <w:rPr>
                <w:noProof/>
                <w:webHidden/>
              </w:rPr>
              <w:t>4</w:t>
            </w:r>
            <w:r w:rsidR="00E32748">
              <w:rPr>
                <w:noProof/>
                <w:webHidden/>
              </w:rPr>
              <w:fldChar w:fldCharType="end"/>
            </w:r>
          </w:hyperlink>
        </w:p>
        <w:p w:rsidR="00E32748" w:rsidRDefault="000624AA">
          <w:pPr>
            <w:pStyle w:val="TOC1"/>
            <w:tabs>
              <w:tab w:val="left" w:pos="660"/>
              <w:tab w:val="right" w:leader="dot" w:pos="13948"/>
            </w:tabs>
            <w:rPr>
              <w:noProof/>
            </w:rPr>
          </w:pPr>
          <w:hyperlink w:anchor="_Toc453926510" w:history="1">
            <w:r w:rsidR="00E32748" w:rsidRPr="00565A6F">
              <w:rPr>
                <w:rStyle w:val="Hyperlink"/>
                <w:noProof/>
              </w:rPr>
              <w:t>5.0</w:t>
            </w:r>
            <w:r w:rsidR="00E32748">
              <w:rPr>
                <w:noProof/>
              </w:rPr>
              <w:tab/>
            </w:r>
            <w:r w:rsidR="00E32748" w:rsidRPr="00565A6F">
              <w:rPr>
                <w:rStyle w:val="Hyperlink"/>
                <w:noProof/>
              </w:rPr>
              <w:t>Aims and Principles</w:t>
            </w:r>
            <w:r w:rsidR="00E32748">
              <w:rPr>
                <w:noProof/>
                <w:webHidden/>
              </w:rPr>
              <w:tab/>
            </w:r>
            <w:r w:rsidR="00E32748">
              <w:rPr>
                <w:noProof/>
                <w:webHidden/>
              </w:rPr>
              <w:fldChar w:fldCharType="begin"/>
            </w:r>
            <w:r w:rsidR="00E32748">
              <w:rPr>
                <w:noProof/>
                <w:webHidden/>
              </w:rPr>
              <w:instrText xml:space="preserve"> PAGEREF _Toc453926510 \h </w:instrText>
            </w:r>
            <w:r w:rsidR="00E32748">
              <w:rPr>
                <w:noProof/>
                <w:webHidden/>
              </w:rPr>
            </w:r>
            <w:r w:rsidR="00E32748">
              <w:rPr>
                <w:noProof/>
                <w:webHidden/>
              </w:rPr>
              <w:fldChar w:fldCharType="separate"/>
            </w:r>
            <w:r w:rsidR="00DF56B0">
              <w:rPr>
                <w:noProof/>
                <w:webHidden/>
              </w:rPr>
              <w:t>4</w:t>
            </w:r>
            <w:r w:rsidR="00E32748">
              <w:rPr>
                <w:noProof/>
                <w:webHidden/>
              </w:rPr>
              <w:fldChar w:fldCharType="end"/>
            </w:r>
          </w:hyperlink>
        </w:p>
        <w:p w:rsidR="00E32748" w:rsidRDefault="000624AA">
          <w:pPr>
            <w:pStyle w:val="TOC1"/>
            <w:tabs>
              <w:tab w:val="left" w:pos="660"/>
              <w:tab w:val="right" w:leader="dot" w:pos="13948"/>
            </w:tabs>
            <w:rPr>
              <w:noProof/>
            </w:rPr>
          </w:pPr>
          <w:hyperlink w:anchor="_Toc453926511" w:history="1">
            <w:r w:rsidR="00E32748" w:rsidRPr="00565A6F">
              <w:rPr>
                <w:rStyle w:val="Hyperlink"/>
                <w:noProof/>
              </w:rPr>
              <w:t>6.0</w:t>
            </w:r>
            <w:r w:rsidR="00E32748">
              <w:rPr>
                <w:noProof/>
              </w:rPr>
              <w:tab/>
            </w:r>
            <w:r w:rsidR="00E32748" w:rsidRPr="00565A6F">
              <w:rPr>
                <w:rStyle w:val="Hyperlink"/>
                <w:noProof/>
              </w:rPr>
              <w:t>Identifying Mental Health Issues</w:t>
            </w:r>
            <w:r w:rsidR="00E32748">
              <w:rPr>
                <w:noProof/>
                <w:webHidden/>
              </w:rPr>
              <w:tab/>
            </w:r>
            <w:r w:rsidR="00E32748">
              <w:rPr>
                <w:noProof/>
                <w:webHidden/>
              </w:rPr>
              <w:fldChar w:fldCharType="begin"/>
            </w:r>
            <w:r w:rsidR="00E32748">
              <w:rPr>
                <w:noProof/>
                <w:webHidden/>
              </w:rPr>
              <w:instrText xml:space="preserve"> PAGEREF _Toc453926511 \h </w:instrText>
            </w:r>
            <w:r w:rsidR="00E32748">
              <w:rPr>
                <w:noProof/>
                <w:webHidden/>
              </w:rPr>
            </w:r>
            <w:r w:rsidR="00E32748">
              <w:rPr>
                <w:noProof/>
                <w:webHidden/>
              </w:rPr>
              <w:fldChar w:fldCharType="separate"/>
            </w:r>
            <w:r w:rsidR="00DF56B0">
              <w:rPr>
                <w:noProof/>
                <w:webHidden/>
              </w:rPr>
              <w:t>5</w:t>
            </w:r>
            <w:r w:rsidR="00E32748">
              <w:rPr>
                <w:noProof/>
                <w:webHidden/>
              </w:rPr>
              <w:fldChar w:fldCharType="end"/>
            </w:r>
          </w:hyperlink>
        </w:p>
        <w:p w:rsidR="00E32748" w:rsidRDefault="000624AA">
          <w:pPr>
            <w:pStyle w:val="TOC2"/>
            <w:tabs>
              <w:tab w:val="right" w:leader="dot" w:pos="13948"/>
            </w:tabs>
            <w:rPr>
              <w:noProof/>
            </w:rPr>
          </w:pPr>
          <w:hyperlink w:anchor="_Toc453926512" w:history="1">
            <w:r w:rsidR="00E32748" w:rsidRPr="00565A6F">
              <w:rPr>
                <w:rStyle w:val="Hyperlink"/>
                <w:noProof/>
              </w:rPr>
              <w:t>6.1 Self-harm</w:t>
            </w:r>
            <w:r w:rsidR="00E32748">
              <w:rPr>
                <w:noProof/>
                <w:webHidden/>
              </w:rPr>
              <w:tab/>
            </w:r>
            <w:r w:rsidR="00E32748">
              <w:rPr>
                <w:noProof/>
                <w:webHidden/>
              </w:rPr>
              <w:fldChar w:fldCharType="begin"/>
            </w:r>
            <w:r w:rsidR="00E32748">
              <w:rPr>
                <w:noProof/>
                <w:webHidden/>
              </w:rPr>
              <w:instrText xml:space="preserve"> PAGEREF _Toc453926512 \h </w:instrText>
            </w:r>
            <w:r w:rsidR="00E32748">
              <w:rPr>
                <w:noProof/>
                <w:webHidden/>
              </w:rPr>
            </w:r>
            <w:r w:rsidR="00E32748">
              <w:rPr>
                <w:noProof/>
                <w:webHidden/>
              </w:rPr>
              <w:fldChar w:fldCharType="separate"/>
            </w:r>
            <w:r w:rsidR="00DF56B0">
              <w:rPr>
                <w:noProof/>
                <w:webHidden/>
              </w:rPr>
              <w:t>5</w:t>
            </w:r>
            <w:r w:rsidR="00E32748">
              <w:rPr>
                <w:noProof/>
                <w:webHidden/>
              </w:rPr>
              <w:fldChar w:fldCharType="end"/>
            </w:r>
          </w:hyperlink>
        </w:p>
        <w:p w:rsidR="00E32748" w:rsidRDefault="000624AA">
          <w:pPr>
            <w:pStyle w:val="TOC2"/>
            <w:tabs>
              <w:tab w:val="right" w:leader="dot" w:pos="13948"/>
            </w:tabs>
            <w:rPr>
              <w:noProof/>
            </w:rPr>
          </w:pPr>
          <w:hyperlink w:anchor="_Toc453926513" w:history="1">
            <w:r w:rsidR="00E32748" w:rsidRPr="00565A6F">
              <w:rPr>
                <w:rStyle w:val="Hyperlink"/>
                <w:noProof/>
              </w:rPr>
              <w:t>6.2 Eating Disorders</w:t>
            </w:r>
            <w:r w:rsidR="00E32748">
              <w:rPr>
                <w:noProof/>
                <w:webHidden/>
              </w:rPr>
              <w:tab/>
            </w:r>
            <w:r w:rsidR="00E32748">
              <w:rPr>
                <w:noProof/>
                <w:webHidden/>
              </w:rPr>
              <w:fldChar w:fldCharType="begin"/>
            </w:r>
            <w:r w:rsidR="00E32748">
              <w:rPr>
                <w:noProof/>
                <w:webHidden/>
              </w:rPr>
              <w:instrText xml:space="preserve"> PAGEREF _Toc453926513 \h </w:instrText>
            </w:r>
            <w:r w:rsidR="00E32748">
              <w:rPr>
                <w:noProof/>
                <w:webHidden/>
              </w:rPr>
            </w:r>
            <w:r w:rsidR="00E32748">
              <w:rPr>
                <w:noProof/>
                <w:webHidden/>
              </w:rPr>
              <w:fldChar w:fldCharType="separate"/>
            </w:r>
            <w:r w:rsidR="00DF56B0">
              <w:rPr>
                <w:noProof/>
                <w:webHidden/>
              </w:rPr>
              <w:t>6</w:t>
            </w:r>
            <w:r w:rsidR="00E32748">
              <w:rPr>
                <w:noProof/>
                <w:webHidden/>
              </w:rPr>
              <w:fldChar w:fldCharType="end"/>
            </w:r>
          </w:hyperlink>
        </w:p>
        <w:p w:rsidR="00E32748" w:rsidRDefault="000624AA">
          <w:pPr>
            <w:pStyle w:val="TOC2"/>
            <w:tabs>
              <w:tab w:val="right" w:leader="dot" w:pos="13948"/>
            </w:tabs>
            <w:rPr>
              <w:noProof/>
            </w:rPr>
          </w:pPr>
          <w:hyperlink w:anchor="_Toc453926514" w:history="1">
            <w:r w:rsidR="00E32748" w:rsidRPr="00565A6F">
              <w:rPr>
                <w:rStyle w:val="Hyperlink"/>
                <w:noProof/>
              </w:rPr>
              <w:t>6.3 Anxiety</w:t>
            </w:r>
            <w:r w:rsidR="00E32748">
              <w:rPr>
                <w:noProof/>
                <w:webHidden/>
              </w:rPr>
              <w:tab/>
            </w:r>
            <w:r w:rsidR="00E32748">
              <w:rPr>
                <w:noProof/>
                <w:webHidden/>
              </w:rPr>
              <w:fldChar w:fldCharType="begin"/>
            </w:r>
            <w:r w:rsidR="00E32748">
              <w:rPr>
                <w:noProof/>
                <w:webHidden/>
              </w:rPr>
              <w:instrText xml:space="preserve"> PAGEREF _Toc453926514 \h </w:instrText>
            </w:r>
            <w:r w:rsidR="00E32748">
              <w:rPr>
                <w:noProof/>
                <w:webHidden/>
              </w:rPr>
            </w:r>
            <w:r w:rsidR="00E32748">
              <w:rPr>
                <w:noProof/>
                <w:webHidden/>
              </w:rPr>
              <w:fldChar w:fldCharType="separate"/>
            </w:r>
            <w:r w:rsidR="00DF56B0">
              <w:rPr>
                <w:noProof/>
                <w:webHidden/>
              </w:rPr>
              <w:t>6</w:t>
            </w:r>
            <w:r w:rsidR="00E32748">
              <w:rPr>
                <w:noProof/>
                <w:webHidden/>
              </w:rPr>
              <w:fldChar w:fldCharType="end"/>
            </w:r>
          </w:hyperlink>
        </w:p>
        <w:p w:rsidR="00E32748" w:rsidRDefault="000624AA">
          <w:pPr>
            <w:pStyle w:val="TOC2"/>
            <w:tabs>
              <w:tab w:val="right" w:leader="dot" w:pos="13948"/>
            </w:tabs>
            <w:rPr>
              <w:noProof/>
            </w:rPr>
          </w:pPr>
          <w:hyperlink w:anchor="_Toc453926515" w:history="1">
            <w:r w:rsidR="00E32748" w:rsidRPr="00565A6F">
              <w:rPr>
                <w:rStyle w:val="Hyperlink"/>
                <w:noProof/>
              </w:rPr>
              <w:t>6.4 Depression</w:t>
            </w:r>
            <w:r w:rsidR="00E32748">
              <w:rPr>
                <w:noProof/>
                <w:webHidden/>
              </w:rPr>
              <w:tab/>
            </w:r>
            <w:r w:rsidR="00E32748">
              <w:rPr>
                <w:noProof/>
                <w:webHidden/>
              </w:rPr>
              <w:fldChar w:fldCharType="begin"/>
            </w:r>
            <w:r w:rsidR="00E32748">
              <w:rPr>
                <w:noProof/>
                <w:webHidden/>
              </w:rPr>
              <w:instrText xml:space="preserve"> PAGEREF _Toc453926515 \h </w:instrText>
            </w:r>
            <w:r w:rsidR="00E32748">
              <w:rPr>
                <w:noProof/>
                <w:webHidden/>
              </w:rPr>
            </w:r>
            <w:r w:rsidR="00E32748">
              <w:rPr>
                <w:noProof/>
                <w:webHidden/>
              </w:rPr>
              <w:fldChar w:fldCharType="separate"/>
            </w:r>
            <w:r w:rsidR="00DF56B0">
              <w:rPr>
                <w:noProof/>
                <w:webHidden/>
              </w:rPr>
              <w:t>6</w:t>
            </w:r>
            <w:r w:rsidR="00E32748">
              <w:rPr>
                <w:noProof/>
                <w:webHidden/>
              </w:rPr>
              <w:fldChar w:fldCharType="end"/>
            </w:r>
          </w:hyperlink>
        </w:p>
        <w:p w:rsidR="00E32748" w:rsidRDefault="000624AA">
          <w:pPr>
            <w:pStyle w:val="TOC1"/>
            <w:tabs>
              <w:tab w:val="right" w:leader="dot" w:pos="13948"/>
            </w:tabs>
            <w:rPr>
              <w:noProof/>
            </w:rPr>
          </w:pPr>
          <w:hyperlink w:anchor="_Toc453926516" w:history="1">
            <w:r w:rsidR="00E32748" w:rsidRPr="00565A6F">
              <w:rPr>
                <w:rStyle w:val="Hyperlink"/>
                <w:noProof/>
              </w:rPr>
              <w:t>Appendix A – Risk and Protective Factors for Child and Adolescent Mental Health</w:t>
            </w:r>
            <w:r w:rsidR="00E32748">
              <w:rPr>
                <w:noProof/>
                <w:webHidden/>
              </w:rPr>
              <w:tab/>
            </w:r>
            <w:r w:rsidR="00E32748">
              <w:rPr>
                <w:noProof/>
                <w:webHidden/>
              </w:rPr>
              <w:fldChar w:fldCharType="begin"/>
            </w:r>
            <w:r w:rsidR="00E32748">
              <w:rPr>
                <w:noProof/>
                <w:webHidden/>
              </w:rPr>
              <w:instrText xml:space="preserve"> PAGEREF _Toc453926516 \h </w:instrText>
            </w:r>
            <w:r w:rsidR="00E32748">
              <w:rPr>
                <w:noProof/>
                <w:webHidden/>
              </w:rPr>
            </w:r>
            <w:r w:rsidR="00E32748">
              <w:rPr>
                <w:noProof/>
                <w:webHidden/>
              </w:rPr>
              <w:fldChar w:fldCharType="separate"/>
            </w:r>
            <w:r w:rsidR="00DF56B0">
              <w:rPr>
                <w:noProof/>
                <w:webHidden/>
              </w:rPr>
              <w:t>9</w:t>
            </w:r>
            <w:r w:rsidR="00E32748">
              <w:rPr>
                <w:noProof/>
                <w:webHidden/>
              </w:rPr>
              <w:fldChar w:fldCharType="end"/>
            </w:r>
          </w:hyperlink>
        </w:p>
        <w:p w:rsidR="00E32748" w:rsidRDefault="00E32748">
          <w:r>
            <w:rPr>
              <w:b/>
              <w:bCs/>
              <w:noProof/>
            </w:rPr>
            <w:fldChar w:fldCharType="end"/>
          </w:r>
        </w:p>
      </w:sdtContent>
    </w:sdt>
    <w:p w:rsidR="00E32748" w:rsidRDefault="00E32748" w:rsidP="008C2BED">
      <w:pPr>
        <w:rPr>
          <w:rFonts w:cs="Arial"/>
          <w:sz w:val="28"/>
          <w:szCs w:val="28"/>
        </w:rPr>
      </w:pPr>
    </w:p>
    <w:p w:rsidR="00E32748" w:rsidRDefault="00E32748" w:rsidP="008C2BED">
      <w:pPr>
        <w:rPr>
          <w:rFonts w:cs="Arial"/>
          <w:sz w:val="28"/>
          <w:szCs w:val="28"/>
        </w:rPr>
      </w:pPr>
    </w:p>
    <w:p w:rsidR="00E32748" w:rsidRDefault="00E32748" w:rsidP="008C2BED">
      <w:pPr>
        <w:rPr>
          <w:rFonts w:cs="Arial"/>
          <w:sz w:val="28"/>
          <w:szCs w:val="28"/>
        </w:rPr>
      </w:pPr>
    </w:p>
    <w:p w:rsidR="00E32748" w:rsidRDefault="00E32748" w:rsidP="008C2BED">
      <w:pPr>
        <w:rPr>
          <w:rFonts w:cs="Arial"/>
          <w:sz w:val="28"/>
          <w:szCs w:val="28"/>
        </w:rPr>
      </w:pPr>
    </w:p>
    <w:p w:rsidR="007A0254" w:rsidRDefault="007A0254"/>
    <w:p w:rsidR="007E7397" w:rsidRDefault="007E7397" w:rsidP="007E7397">
      <w:pPr>
        <w:pStyle w:val="Heading1"/>
        <w:numPr>
          <w:ilvl w:val="0"/>
          <w:numId w:val="16"/>
        </w:numPr>
        <w:rPr>
          <w:rFonts w:asciiTheme="minorHAnsi" w:hAnsiTheme="minorHAnsi"/>
          <w:color w:val="auto"/>
        </w:rPr>
      </w:pPr>
      <w:bookmarkStart w:id="1" w:name="_Toc453926506"/>
      <w:r w:rsidRPr="007E7397">
        <w:rPr>
          <w:rFonts w:asciiTheme="minorHAnsi" w:hAnsiTheme="minorHAnsi"/>
          <w:color w:val="auto"/>
        </w:rPr>
        <w:lastRenderedPageBreak/>
        <w:t>Introduction</w:t>
      </w:r>
      <w:bookmarkEnd w:id="1"/>
    </w:p>
    <w:p w:rsidR="007E7397" w:rsidRDefault="007E7397" w:rsidP="007E7397">
      <w:pPr>
        <w:pStyle w:val="NoSpacing"/>
      </w:pPr>
    </w:p>
    <w:p w:rsidR="007E7397" w:rsidRDefault="007E7397" w:rsidP="00196D39">
      <w:pPr>
        <w:pStyle w:val="NoSpacing"/>
      </w:pPr>
      <w:r w:rsidRPr="007E7397">
        <w:t xml:space="preserve">Mental health is defined as a state of well-being </w:t>
      </w:r>
      <w:r>
        <w:t>in which every individual realis</w:t>
      </w:r>
      <w:r w:rsidRPr="007E7397">
        <w:t>es his or her own potential, can cope with the normal stresses of life, can work productively and fruitfully, and is able to make a contribution to her or his community.</w:t>
      </w:r>
    </w:p>
    <w:p w:rsidR="007E7397" w:rsidRDefault="007E7397" w:rsidP="00196D39">
      <w:pPr>
        <w:pStyle w:val="NoSpacing"/>
      </w:pPr>
    </w:p>
    <w:p w:rsidR="007E7397" w:rsidRDefault="007E7397" w:rsidP="00196D39">
      <w:pPr>
        <w:pStyle w:val="NoSpacing"/>
      </w:pPr>
      <w:r>
        <w:t xml:space="preserve">1 in 10 </w:t>
      </w:r>
      <w:r w:rsidRPr="007E7397">
        <w:t xml:space="preserve">children </w:t>
      </w:r>
      <w:r>
        <w:t>aged 5-</w:t>
      </w:r>
      <w:r w:rsidRPr="007E7397">
        <w:t xml:space="preserve">16 have a clinically diagnosed mental health disorder and around </w:t>
      </w:r>
      <w:r>
        <w:t>1 in 7 has less severe problems</w:t>
      </w:r>
      <w:r w:rsidR="00226889">
        <w:t xml:space="preserve"> (</w:t>
      </w:r>
      <w:hyperlink r:id="rId12" w:history="1">
        <w:r>
          <w:rPr>
            <w:rStyle w:val="Hyperlink"/>
            <w:rFonts w:ascii="Calibri" w:hAnsi="Calibri" w:cs="Calibri"/>
          </w:rPr>
          <w:t>Mental Health and Behaviour in Schools</w:t>
        </w:r>
      </w:hyperlink>
      <w:r>
        <w:t>, DfE 2016)</w:t>
      </w:r>
      <w:r w:rsidR="00F06087">
        <w:t>.</w:t>
      </w:r>
    </w:p>
    <w:p w:rsidR="007E7397" w:rsidRDefault="007E7397" w:rsidP="007E7397">
      <w:pPr>
        <w:autoSpaceDE w:val="0"/>
        <w:autoSpaceDN w:val="0"/>
        <w:adjustRightInd w:val="0"/>
        <w:spacing w:after="0" w:line="240" w:lineRule="auto"/>
        <w:rPr>
          <w:rFonts w:ascii="Calibri" w:hAnsi="Calibri" w:cs="Calibri"/>
          <w:color w:val="000000"/>
        </w:rPr>
      </w:pPr>
    </w:p>
    <w:p w:rsidR="007E7397" w:rsidRDefault="007E7397" w:rsidP="00196D39">
      <w:pPr>
        <w:pStyle w:val="NoSpacing"/>
      </w:pPr>
      <w:r w:rsidRPr="007E7397">
        <w:t xml:space="preserve">Schools therefore have a responsibility to: </w:t>
      </w:r>
    </w:p>
    <w:p w:rsidR="007E7397" w:rsidRPr="007E7397" w:rsidRDefault="007E7397" w:rsidP="00196D39">
      <w:pPr>
        <w:pStyle w:val="NoSpacing"/>
      </w:pPr>
    </w:p>
    <w:p w:rsidR="007E7397" w:rsidRPr="007E7397" w:rsidRDefault="007E7397" w:rsidP="009F59D3">
      <w:pPr>
        <w:pStyle w:val="NoSpacing"/>
        <w:numPr>
          <w:ilvl w:val="0"/>
          <w:numId w:val="25"/>
        </w:numPr>
      </w:pPr>
      <w:r>
        <w:t xml:space="preserve">Support all pupils </w:t>
      </w:r>
      <w:r w:rsidRPr="007E7397">
        <w:t>to be</w:t>
      </w:r>
      <w:r>
        <w:t xml:space="preserve"> mentally healthy and resilient.</w:t>
      </w:r>
    </w:p>
    <w:p w:rsidR="007E7397" w:rsidRPr="007E7397" w:rsidRDefault="007E7397" w:rsidP="009F59D3">
      <w:pPr>
        <w:pStyle w:val="NoSpacing"/>
        <w:numPr>
          <w:ilvl w:val="0"/>
          <w:numId w:val="25"/>
        </w:numPr>
      </w:pPr>
      <w:r w:rsidRPr="007E7397">
        <w:t>Have a robust support an</w:t>
      </w:r>
      <w:r>
        <w:t xml:space="preserve">d referral process for pupils </w:t>
      </w:r>
      <w:r w:rsidRPr="007E7397">
        <w:t xml:space="preserve">experiencing mental health problems. </w:t>
      </w:r>
    </w:p>
    <w:p w:rsidR="007E7397" w:rsidRPr="007E7397" w:rsidRDefault="007E7397" w:rsidP="009F59D3">
      <w:pPr>
        <w:pStyle w:val="NoSpacing"/>
        <w:numPr>
          <w:ilvl w:val="0"/>
          <w:numId w:val="25"/>
        </w:numPr>
      </w:pPr>
      <w:r>
        <w:t>Work with pupils</w:t>
      </w:r>
      <w:r w:rsidRPr="007E7397">
        <w:t xml:space="preserve"> and their families, along with other agencies where appropriate, to ensure that they can participate as fully as possible in decisions regarding good mental health and wellbeing. </w:t>
      </w:r>
    </w:p>
    <w:p w:rsidR="007E7397" w:rsidRPr="007E7397" w:rsidRDefault="007E7397" w:rsidP="00196D39">
      <w:pPr>
        <w:pStyle w:val="NoSpacing"/>
      </w:pPr>
    </w:p>
    <w:p w:rsidR="007E7397" w:rsidRPr="007E7397" w:rsidRDefault="007E7397" w:rsidP="00196D39">
      <w:pPr>
        <w:pStyle w:val="NoSpacing"/>
        <w:rPr>
          <w:i/>
        </w:rPr>
      </w:pPr>
      <w:r w:rsidRPr="007E7397">
        <w:rPr>
          <w:i/>
        </w:rPr>
        <w:t xml:space="preserve">This policy should be read in conjunction with </w:t>
      </w:r>
      <w:r w:rsidR="00F06087">
        <w:rPr>
          <w:i/>
        </w:rPr>
        <w:t>the SEND Policy and Supporting Pupils with Medical Conditions Policy in cases where a pupil</w:t>
      </w:r>
      <w:r w:rsidRPr="007E7397">
        <w:rPr>
          <w:i/>
        </w:rPr>
        <w:t>’s mental health overlaps with, or is linked to</w:t>
      </w:r>
      <w:r w:rsidR="00F06087">
        <w:rPr>
          <w:i/>
        </w:rPr>
        <w:t xml:space="preserve"> an </w:t>
      </w:r>
      <w:r w:rsidR="00F06087" w:rsidRPr="007E7397">
        <w:rPr>
          <w:i/>
        </w:rPr>
        <w:t>identified special educational need</w:t>
      </w:r>
      <w:r w:rsidR="00F06087">
        <w:rPr>
          <w:i/>
        </w:rPr>
        <w:t xml:space="preserve"> and/or medical issue.</w:t>
      </w:r>
    </w:p>
    <w:p w:rsidR="00F06087" w:rsidRDefault="00F06087" w:rsidP="00F06087">
      <w:pPr>
        <w:pStyle w:val="Heading1"/>
        <w:numPr>
          <w:ilvl w:val="0"/>
          <w:numId w:val="16"/>
        </w:numPr>
        <w:rPr>
          <w:rFonts w:asciiTheme="minorHAnsi" w:hAnsiTheme="minorHAnsi"/>
          <w:color w:val="auto"/>
        </w:rPr>
      </w:pPr>
      <w:bookmarkStart w:id="2" w:name="_Toc453926507"/>
      <w:r>
        <w:rPr>
          <w:rFonts w:asciiTheme="minorHAnsi" w:hAnsiTheme="minorHAnsi"/>
          <w:color w:val="auto"/>
        </w:rPr>
        <w:t>Pupils at Risk</w:t>
      </w:r>
      <w:bookmarkEnd w:id="2"/>
    </w:p>
    <w:p w:rsidR="007E7397" w:rsidRPr="007E7397" w:rsidRDefault="007E7397" w:rsidP="007E7397">
      <w:pPr>
        <w:autoSpaceDE w:val="0"/>
        <w:autoSpaceDN w:val="0"/>
        <w:adjustRightInd w:val="0"/>
        <w:spacing w:after="0" w:line="240" w:lineRule="auto"/>
        <w:rPr>
          <w:rFonts w:ascii="Calibri" w:hAnsi="Calibri" w:cs="Calibri"/>
          <w:color w:val="000000"/>
        </w:rPr>
      </w:pPr>
    </w:p>
    <w:p w:rsidR="00196D39" w:rsidRDefault="007E7397" w:rsidP="00196D39">
      <w:pPr>
        <w:pStyle w:val="NoSpacing"/>
      </w:pPr>
      <w:r w:rsidRPr="007E7397">
        <w:t>A</w:t>
      </w:r>
      <w:r w:rsidR="00F06087">
        <w:t>ll pupils</w:t>
      </w:r>
      <w:r w:rsidRPr="007E7397">
        <w:t xml:space="preserve"> – indeed all people – are likely to encounter times in their lives when their mental health is challenged or put under pressure. However, certain individuals or groups are more at risk of developing mental health problems than others. These include, but are not limited to, looked after children, children with learning difficulties and children from disadvantaged backgrounds. These risks can relate to the child themselves, to their family, or to their community or life events </w:t>
      </w:r>
      <w:r w:rsidR="00226889">
        <w:t>outlined in</w:t>
      </w:r>
      <w:r w:rsidRPr="007E7397">
        <w:t xml:space="preserve"> </w:t>
      </w:r>
      <w:hyperlink r:id="rId13" w:history="1">
        <w:r w:rsidR="00F06087">
          <w:rPr>
            <w:rStyle w:val="Hyperlink"/>
            <w:rFonts w:ascii="Calibri" w:hAnsi="Calibri" w:cs="Calibri"/>
          </w:rPr>
          <w:t>Mental Health and Behaviour in Schools</w:t>
        </w:r>
      </w:hyperlink>
      <w:r w:rsidR="00226889">
        <w:t xml:space="preserve">  and </w:t>
      </w:r>
      <w:r w:rsidR="00226889">
        <w:rPr>
          <w:b/>
        </w:rPr>
        <w:t>Appendix A</w:t>
      </w:r>
      <w:r w:rsidR="00226889" w:rsidRPr="00226889">
        <w:rPr>
          <w:b/>
        </w:rPr>
        <w:t>.</w:t>
      </w:r>
      <w:r w:rsidR="00226889">
        <w:t xml:space="preserve"> </w:t>
      </w:r>
    </w:p>
    <w:p w:rsidR="00196D39" w:rsidRDefault="00196D39" w:rsidP="00196D39">
      <w:pPr>
        <w:pStyle w:val="Heading1"/>
        <w:numPr>
          <w:ilvl w:val="0"/>
          <w:numId w:val="16"/>
        </w:numPr>
        <w:rPr>
          <w:rFonts w:asciiTheme="minorHAnsi" w:hAnsiTheme="minorHAnsi"/>
          <w:color w:val="auto"/>
        </w:rPr>
      </w:pPr>
      <w:bookmarkStart w:id="3" w:name="_Toc453926508"/>
      <w:r>
        <w:rPr>
          <w:rFonts w:asciiTheme="minorHAnsi" w:hAnsiTheme="minorHAnsi"/>
          <w:color w:val="auto"/>
        </w:rPr>
        <w:t>Minimising the Risk</w:t>
      </w:r>
      <w:bookmarkEnd w:id="3"/>
    </w:p>
    <w:p w:rsidR="00F06087" w:rsidRDefault="00F06087" w:rsidP="00F06087">
      <w:pPr>
        <w:autoSpaceDE w:val="0"/>
        <w:autoSpaceDN w:val="0"/>
        <w:adjustRightInd w:val="0"/>
        <w:spacing w:after="0" w:line="240" w:lineRule="auto"/>
        <w:rPr>
          <w:rFonts w:ascii="Calibri" w:hAnsi="Calibri" w:cs="Calibri"/>
          <w:color w:val="000000"/>
        </w:rPr>
      </w:pPr>
    </w:p>
    <w:p w:rsidR="00F06087" w:rsidRDefault="000624AA" w:rsidP="00196D39">
      <w:pPr>
        <w:autoSpaceDE w:val="0"/>
        <w:autoSpaceDN w:val="0"/>
        <w:adjustRightInd w:val="0"/>
        <w:spacing w:after="0" w:line="240" w:lineRule="auto"/>
        <w:rPr>
          <w:rFonts w:ascii="Calibri" w:hAnsi="Calibri" w:cs="Calibri"/>
          <w:color w:val="000000"/>
        </w:rPr>
      </w:pPr>
      <w:hyperlink r:id="rId14" w:history="1">
        <w:r w:rsidR="00196D39">
          <w:rPr>
            <w:rStyle w:val="Hyperlink"/>
            <w:rFonts w:ascii="Calibri" w:hAnsi="Calibri" w:cs="Calibri"/>
          </w:rPr>
          <w:t>Mental Health and Behaviour in Schools</w:t>
        </w:r>
      </w:hyperlink>
      <w:r w:rsidR="00196D39">
        <w:t xml:space="preserve"> </w:t>
      </w:r>
      <w:r w:rsidR="00196D39" w:rsidRPr="00196D39">
        <w:rPr>
          <w:rFonts w:ascii="Calibri" w:hAnsi="Calibri" w:cs="Calibri"/>
          <w:color w:val="000000"/>
        </w:rPr>
        <w:t xml:space="preserve">discusses findings that show that there are also protective factors that minimise the risks of developing mental health issues, even amongst those who are more at risk. These protective factors are also listed in </w:t>
      </w:r>
      <w:r w:rsidR="00196D39">
        <w:rPr>
          <w:rFonts w:ascii="Calibri" w:hAnsi="Calibri" w:cs="Calibri"/>
          <w:b/>
          <w:bCs/>
          <w:color w:val="000000"/>
        </w:rPr>
        <w:t xml:space="preserve">Appendix 1. </w:t>
      </w:r>
      <w:r w:rsidR="00196D39" w:rsidRPr="00196D39">
        <w:rPr>
          <w:rFonts w:ascii="Calibri" w:hAnsi="Calibri" w:cs="Calibri"/>
          <w:color w:val="000000"/>
        </w:rPr>
        <w:t xml:space="preserve">The key to these protective factors seems to be a strongly developed </w:t>
      </w:r>
      <w:r w:rsidR="00196D39" w:rsidRPr="00196D39">
        <w:rPr>
          <w:rFonts w:ascii="Calibri" w:hAnsi="Calibri" w:cs="Calibri"/>
          <w:b/>
          <w:color w:val="000000"/>
        </w:rPr>
        <w:t>resilience.</w:t>
      </w:r>
    </w:p>
    <w:p w:rsidR="00196D39" w:rsidRDefault="00196D39" w:rsidP="00196D39">
      <w:pPr>
        <w:pStyle w:val="Heading1"/>
        <w:numPr>
          <w:ilvl w:val="0"/>
          <w:numId w:val="16"/>
        </w:numPr>
        <w:rPr>
          <w:rFonts w:asciiTheme="minorHAnsi" w:hAnsiTheme="minorHAnsi"/>
          <w:color w:val="auto"/>
        </w:rPr>
      </w:pPr>
      <w:bookmarkStart w:id="4" w:name="_Toc453926509"/>
      <w:r>
        <w:rPr>
          <w:rFonts w:asciiTheme="minorHAnsi" w:hAnsiTheme="minorHAnsi"/>
          <w:color w:val="auto"/>
        </w:rPr>
        <w:lastRenderedPageBreak/>
        <w:t>Resilience</w:t>
      </w:r>
      <w:bookmarkEnd w:id="4"/>
    </w:p>
    <w:p w:rsidR="00F06087" w:rsidRDefault="00F06087" w:rsidP="00F06087">
      <w:pPr>
        <w:autoSpaceDE w:val="0"/>
        <w:autoSpaceDN w:val="0"/>
        <w:adjustRightInd w:val="0"/>
        <w:spacing w:after="0" w:line="240" w:lineRule="auto"/>
        <w:rPr>
          <w:rFonts w:ascii="Calibri" w:hAnsi="Calibri" w:cs="Calibri"/>
          <w:color w:val="000000"/>
        </w:rPr>
      </w:pPr>
    </w:p>
    <w:p w:rsidR="006C2D3B" w:rsidRDefault="006C2D3B" w:rsidP="006C2D3B">
      <w:pPr>
        <w:autoSpaceDE w:val="0"/>
        <w:autoSpaceDN w:val="0"/>
        <w:adjustRightInd w:val="0"/>
        <w:spacing w:after="0" w:line="240" w:lineRule="auto"/>
        <w:rPr>
          <w:rFonts w:ascii="Calibri" w:hAnsi="Calibri" w:cs="Calibri"/>
          <w:iCs/>
          <w:color w:val="000000"/>
        </w:rPr>
      </w:pPr>
      <w:r w:rsidRPr="006C2D3B">
        <w:rPr>
          <w:rFonts w:ascii="Calibri" w:hAnsi="Calibri" w:cs="Calibri"/>
          <w:iCs/>
          <w:color w:val="000000"/>
        </w:rPr>
        <w:t xml:space="preserve">Resilience </w:t>
      </w:r>
      <w:r>
        <w:rPr>
          <w:rFonts w:ascii="Calibri" w:hAnsi="Calibri" w:cs="Calibri"/>
          <w:iCs/>
          <w:color w:val="000000"/>
        </w:rPr>
        <w:t xml:space="preserve">is an individual’s ability to properly adapt to stress and adversity. </w:t>
      </w:r>
    </w:p>
    <w:p w:rsidR="006C2D3B" w:rsidRDefault="006C2D3B" w:rsidP="006C2D3B">
      <w:pPr>
        <w:autoSpaceDE w:val="0"/>
        <w:autoSpaceDN w:val="0"/>
        <w:adjustRightInd w:val="0"/>
        <w:spacing w:after="0" w:line="240" w:lineRule="auto"/>
        <w:rPr>
          <w:rFonts w:ascii="Calibri" w:hAnsi="Calibri" w:cs="Calibri"/>
          <w:iCs/>
          <w:color w:val="000000"/>
        </w:rPr>
      </w:pPr>
    </w:p>
    <w:p w:rsidR="006C2D3B" w:rsidRDefault="006C2D3B" w:rsidP="006C2D3B">
      <w:pPr>
        <w:autoSpaceDE w:val="0"/>
        <w:autoSpaceDN w:val="0"/>
        <w:adjustRightInd w:val="0"/>
        <w:spacing w:after="0" w:line="240" w:lineRule="auto"/>
        <w:rPr>
          <w:lang w:val="en"/>
        </w:rPr>
      </w:pPr>
      <w:r>
        <w:rPr>
          <w:lang w:val="en"/>
        </w:rPr>
        <w:t xml:space="preserve">Resilient individuals have, through time, developed coping techniques that allow them to effectively and relatively easily navigate around or through </w:t>
      </w:r>
      <w:r w:rsidR="007C5E84">
        <w:rPr>
          <w:lang w:val="en"/>
        </w:rPr>
        <w:t xml:space="preserve">difficult situations and/or </w:t>
      </w:r>
      <w:r>
        <w:rPr>
          <w:lang w:val="en"/>
        </w:rPr>
        <w:t>crises.</w:t>
      </w:r>
    </w:p>
    <w:p w:rsidR="006C2D3B" w:rsidRDefault="006C2D3B" w:rsidP="006C2D3B">
      <w:pPr>
        <w:autoSpaceDE w:val="0"/>
        <w:autoSpaceDN w:val="0"/>
        <w:adjustRightInd w:val="0"/>
        <w:spacing w:after="0" w:line="240" w:lineRule="auto"/>
        <w:rPr>
          <w:lang w:val="en"/>
        </w:rPr>
      </w:pPr>
    </w:p>
    <w:p w:rsidR="007C5E84" w:rsidRDefault="006C2D3B" w:rsidP="00F06087">
      <w:pPr>
        <w:autoSpaceDE w:val="0"/>
        <w:autoSpaceDN w:val="0"/>
        <w:adjustRightInd w:val="0"/>
        <w:spacing w:after="0" w:line="240" w:lineRule="auto"/>
        <w:rPr>
          <w:lang w:val="en"/>
        </w:rPr>
      </w:pPr>
      <w:r>
        <w:rPr>
          <w:lang w:val="en"/>
        </w:rPr>
        <w:t>People who demonstrate resilience are those with an optimistic attitude, are positive emotionality and are, by practice, able to effectively balance negative emotions with positive one</w:t>
      </w:r>
      <w:r w:rsidR="007C5E84">
        <w:rPr>
          <w:lang w:val="en"/>
        </w:rPr>
        <w:t xml:space="preserve">s. </w:t>
      </w:r>
    </w:p>
    <w:p w:rsidR="007C5E84" w:rsidRDefault="007C5E84" w:rsidP="007C5E84">
      <w:pPr>
        <w:pStyle w:val="Heading1"/>
        <w:numPr>
          <w:ilvl w:val="0"/>
          <w:numId w:val="16"/>
        </w:numPr>
        <w:rPr>
          <w:rFonts w:asciiTheme="minorHAnsi" w:hAnsiTheme="minorHAnsi"/>
          <w:color w:val="auto"/>
        </w:rPr>
      </w:pPr>
      <w:bookmarkStart w:id="5" w:name="_Toc453926510"/>
      <w:r>
        <w:rPr>
          <w:rFonts w:asciiTheme="minorHAnsi" w:hAnsiTheme="minorHAnsi"/>
          <w:color w:val="auto"/>
        </w:rPr>
        <w:t>Aims and Principles</w:t>
      </w:r>
      <w:bookmarkEnd w:id="5"/>
    </w:p>
    <w:p w:rsidR="007C5E84" w:rsidRDefault="007C5E84" w:rsidP="00F06087">
      <w:pPr>
        <w:autoSpaceDE w:val="0"/>
        <w:autoSpaceDN w:val="0"/>
        <w:adjustRightInd w:val="0"/>
        <w:spacing w:after="0" w:line="240" w:lineRule="auto"/>
        <w:rPr>
          <w:color w:val="0000FF"/>
          <w:sz w:val="19"/>
          <w:szCs w:val="19"/>
          <w:u w:val="single"/>
          <w:vertAlign w:val="superscript"/>
          <w:lang w:val="en"/>
        </w:rPr>
      </w:pPr>
    </w:p>
    <w:p w:rsidR="007C5E84" w:rsidRDefault="007C5E84" w:rsidP="007C5E84">
      <w:pPr>
        <w:pStyle w:val="NoSpacing"/>
      </w:pPr>
      <w:r>
        <w:t xml:space="preserve">The Academy </w:t>
      </w:r>
      <w:r w:rsidRPr="007C5E84">
        <w:t>is committed to developing an ethos of good mental health, fostering an open and supportive educational backdrop to teaching good mental health, while</w:t>
      </w:r>
      <w:r>
        <w:t xml:space="preserve"> also supporting those pupils </w:t>
      </w:r>
      <w:r w:rsidRPr="007C5E84">
        <w:t xml:space="preserve">who are facing mental health issues, whether long- or short-term, serious or more moderate. </w:t>
      </w:r>
    </w:p>
    <w:p w:rsidR="007C5E84" w:rsidRPr="007C5E84" w:rsidRDefault="007C5E84" w:rsidP="007C5E84">
      <w:pPr>
        <w:autoSpaceDE w:val="0"/>
        <w:autoSpaceDN w:val="0"/>
        <w:adjustRightInd w:val="0"/>
        <w:spacing w:after="30" w:line="240" w:lineRule="auto"/>
        <w:rPr>
          <w:rFonts w:ascii="Calibri" w:hAnsi="Calibri" w:cs="Calibri"/>
          <w:color w:val="000000"/>
        </w:rPr>
      </w:pPr>
    </w:p>
    <w:p w:rsidR="00F3070C" w:rsidRDefault="007C5E84" w:rsidP="007C5E84">
      <w:pPr>
        <w:autoSpaceDE w:val="0"/>
        <w:autoSpaceDN w:val="0"/>
        <w:adjustRightInd w:val="0"/>
        <w:spacing w:after="30" w:line="240" w:lineRule="auto"/>
        <w:rPr>
          <w:rFonts w:ascii="Calibri" w:hAnsi="Calibri" w:cs="Calibri"/>
          <w:color w:val="000000"/>
        </w:rPr>
      </w:pPr>
      <w:r>
        <w:rPr>
          <w:rFonts w:ascii="Calibri" w:hAnsi="Calibri" w:cs="Calibri"/>
          <w:color w:val="000000"/>
        </w:rPr>
        <w:t xml:space="preserve">The Academy </w:t>
      </w:r>
      <w:r w:rsidRPr="007C5E84">
        <w:rPr>
          <w:rFonts w:ascii="Calibri" w:hAnsi="Calibri" w:cs="Calibri"/>
          <w:color w:val="000000"/>
        </w:rPr>
        <w:t xml:space="preserve">recognises that mental health, like physical health, is something that changes in an individual over time and is affected by circumstances and the ability to make healthy choices. </w:t>
      </w:r>
      <w:r w:rsidR="00F3070C">
        <w:rPr>
          <w:rFonts w:ascii="Calibri" w:hAnsi="Calibri" w:cs="Calibri"/>
          <w:color w:val="000000"/>
        </w:rPr>
        <w:t>To this end, the broad aims are as follows:</w:t>
      </w:r>
    </w:p>
    <w:p w:rsidR="007C5E84" w:rsidRPr="007C5E84" w:rsidRDefault="007C5E84" w:rsidP="007C5E84">
      <w:pPr>
        <w:autoSpaceDE w:val="0"/>
        <w:autoSpaceDN w:val="0"/>
        <w:adjustRightInd w:val="0"/>
        <w:spacing w:after="30" w:line="240" w:lineRule="auto"/>
        <w:rPr>
          <w:rFonts w:ascii="Calibri" w:hAnsi="Calibri" w:cs="Calibri"/>
          <w:color w:val="000000"/>
        </w:rPr>
      </w:pPr>
    </w:p>
    <w:p w:rsidR="007C5E84" w:rsidRPr="007C5E84" w:rsidRDefault="00F3070C" w:rsidP="009F59D3">
      <w:pPr>
        <w:pStyle w:val="NoSpacing"/>
        <w:numPr>
          <w:ilvl w:val="0"/>
          <w:numId w:val="27"/>
        </w:numPr>
      </w:pPr>
      <w:r>
        <w:t>Encourage</w:t>
      </w:r>
      <w:r w:rsidR="007C5E84">
        <w:t xml:space="preserve"> pupils</w:t>
      </w:r>
      <w:r w:rsidR="007C5E84" w:rsidRPr="007C5E84">
        <w:t xml:space="preserve"> to develop healthy coping strategies and an open approach to their own mental health and that of those around them</w:t>
      </w:r>
      <w:r>
        <w:t>,</w:t>
      </w:r>
      <w:r w:rsidR="007C5E84" w:rsidRPr="007C5E84">
        <w:t xml:space="preserve"> in developing the resilience needed for a healthy adult life. </w:t>
      </w:r>
    </w:p>
    <w:p w:rsidR="007C5E84" w:rsidRPr="007C5E84" w:rsidRDefault="00F3070C" w:rsidP="009F59D3">
      <w:pPr>
        <w:pStyle w:val="NoSpacing"/>
        <w:numPr>
          <w:ilvl w:val="0"/>
          <w:numId w:val="27"/>
        </w:numPr>
      </w:pPr>
      <w:r>
        <w:t>Offer</w:t>
      </w:r>
      <w:r w:rsidR="007C5E84" w:rsidRPr="007C5E84">
        <w:t xml:space="preserve"> appropriate suppor</w:t>
      </w:r>
      <w:r w:rsidR="007C5E84">
        <w:t xml:space="preserve">t strategies for those pupils </w:t>
      </w:r>
      <w:r w:rsidR="007C5E84" w:rsidRPr="007C5E84">
        <w:t xml:space="preserve">dealing with current mental health issues. </w:t>
      </w:r>
    </w:p>
    <w:p w:rsidR="007C5E84" w:rsidRPr="007C5E84" w:rsidRDefault="00F3070C" w:rsidP="009F59D3">
      <w:pPr>
        <w:pStyle w:val="NoSpacing"/>
        <w:numPr>
          <w:ilvl w:val="0"/>
          <w:numId w:val="27"/>
        </w:numPr>
      </w:pPr>
      <w:r>
        <w:t>R</w:t>
      </w:r>
      <w:r w:rsidR="007C5E84" w:rsidRPr="007C5E84">
        <w:t xml:space="preserve">ecognise and address potential issues around mental health at an early stage in order for intervention to be most effective. </w:t>
      </w:r>
    </w:p>
    <w:p w:rsidR="007C5E84" w:rsidRPr="007C5E84" w:rsidRDefault="00F3070C" w:rsidP="009F59D3">
      <w:pPr>
        <w:pStyle w:val="NoSpacing"/>
        <w:numPr>
          <w:ilvl w:val="0"/>
          <w:numId w:val="27"/>
        </w:numPr>
      </w:pPr>
      <w:r>
        <w:t>D</w:t>
      </w:r>
      <w:r w:rsidR="007C5E84" w:rsidRPr="007C5E84">
        <w:t xml:space="preserve">evelop strategies to promote self-esteem, a healthy self-image, resilience and positive </w:t>
      </w:r>
      <w:r>
        <w:t>role modelling to all pupils.</w:t>
      </w:r>
    </w:p>
    <w:p w:rsidR="007C5E84" w:rsidRPr="007C5E84" w:rsidRDefault="00F3070C" w:rsidP="009F59D3">
      <w:pPr>
        <w:pStyle w:val="NoSpacing"/>
        <w:numPr>
          <w:ilvl w:val="0"/>
          <w:numId w:val="27"/>
        </w:numPr>
      </w:pPr>
      <w:r>
        <w:t>W</w:t>
      </w:r>
      <w:r w:rsidR="007C5E84" w:rsidRPr="007C5E84">
        <w:t>ork with other mental health professionals to offer the most appropriat</w:t>
      </w:r>
      <w:r>
        <w:t>e level of support to pupils.</w:t>
      </w:r>
    </w:p>
    <w:p w:rsidR="007C5E84" w:rsidRPr="007C5E84" w:rsidRDefault="00F3070C" w:rsidP="009F59D3">
      <w:pPr>
        <w:pStyle w:val="NoSpacing"/>
        <w:numPr>
          <w:ilvl w:val="0"/>
          <w:numId w:val="27"/>
        </w:numPr>
      </w:pPr>
      <w:r>
        <w:t>C</w:t>
      </w:r>
      <w:r w:rsidR="007C5E84" w:rsidRPr="007C5E84">
        <w:t xml:space="preserve">hallenge the wide held myths about mental health issues and raise awareness of the widespread nature of the issues and the need for tolerance and understanding in supporting others who have mental health issues. </w:t>
      </w:r>
    </w:p>
    <w:p w:rsidR="007C5E84" w:rsidRDefault="007C5E84" w:rsidP="00F06087">
      <w:pPr>
        <w:autoSpaceDE w:val="0"/>
        <w:autoSpaceDN w:val="0"/>
        <w:adjustRightInd w:val="0"/>
        <w:spacing w:after="0" w:line="240" w:lineRule="auto"/>
        <w:rPr>
          <w:color w:val="0000FF"/>
          <w:sz w:val="19"/>
          <w:szCs w:val="19"/>
          <w:u w:val="single"/>
          <w:vertAlign w:val="superscript"/>
          <w:lang w:val="en"/>
        </w:rPr>
      </w:pPr>
    </w:p>
    <w:p w:rsidR="00F3070C" w:rsidRDefault="00F3070C" w:rsidP="00F06087">
      <w:pPr>
        <w:autoSpaceDE w:val="0"/>
        <w:autoSpaceDN w:val="0"/>
        <w:adjustRightInd w:val="0"/>
        <w:spacing w:after="0" w:line="240" w:lineRule="auto"/>
        <w:rPr>
          <w:color w:val="0000FF"/>
          <w:sz w:val="19"/>
          <w:szCs w:val="19"/>
          <w:u w:val="single"/>
          <w:vertAlign w:val="superscript"/>
          <w:lang w:val="en"/>
        </w:rPr>
      </w:pPr>
    </w:p>
    <w:p w:rsidR="00EF3111" w:rsidRDefault="00EF3111" w:rsidP="00EF3111">
      <w:pPr>
        <w:pStyle w:val="Heading1"/>
        <w:numPr>
          <w:ilvl w:val="0"/>
          <w:numId w:val="16"/>
        </w:numPr>
        <w:rPr>
          <w:rFonts w:asciiTheme="minorHAnsi" w:hAnsiTheme="minorHAnsi"/>
          <w:color w:val="auto"/>
        </w:rPr>
      </w:pPr>
      <w:bookmarkStart w:id="6" w:name="_Toc453926511"/>
      <w:r>
        <w:rPr>
          <w:rFonts w:asciiTheme="minorHAnsi" w:hAnsiTheme="minorHAnsi"/>
          <w:color w:val="auto"/>
        </w:rPr>
        <w:lastRenderedPageBreak/>
        <w:t>Identifying Mental Health I</w:t>
      </w:r>
      <w:r w:rsidRPr="00EF3111">
        <w:rPr>
          <w:rFonts w:asciiTheme="minorHAnsi" w:hAnsiTheme="minorHAnsi"/>
          <w:color w:val="auto"/>
        </w:rPr>
        <w:t>ssues</w:t>
      </w:r>
      <w:bookmarkEnd w:id="6"/>
      <w:r w:rsidRPr="00EF3111">
        <w:rPr>
          <w:rFonts w:asciiTheme="minorHAnsi" w:hAnsiTheme="minorHAnsi"/>
          <w:color w:val="auto"/>
        </w:rPr>
        <w:t xml:space="preserve"> </w:t>
      </w:r>
    </w:p>
    <w:p w:rsidR="00EF3111" w:rsidRPr="00EF3111" w:rsidRDefault="00EF3111" w:rsidP="00EF3111">
      <w:pPr>
        <w:pStyle w:val="NoSpacing"/>
      </w:pPr>
    </w:p>
    <w:p w:rsidR="00EF3111" w:rsidRDefault="00EF3111" w:rsidP="00EF3111">
      <w:pPr>
        <w:pStyle w:val="NoSpacing"/>
      </w:pPr>
      <w:r w:rsidRPr="00EF3111">
        <w:t xml:space="preserve">In most cases, identification of a mental health issue will be in noticing the </w:t>
      </w:r>
      <w:r w:rsidRPr="00EF3111">
        <w:rPr>
          <w:b/>
          <w:bCs/>
        </w:rPr>
        <w:t>symptoms</w:t>
      </w:r>
      <w:r>
        <w:t xml:space="preserve"> which include: </w:t>
      </w:r>
      <w:r w:rsidRPr="00EF3111">
        <w:t xml:space="preserve">self-harm; eating disorders; anti-social behaviour; high levels of anxiety; depression; crying or being socially withdrawn. </w:t>
      </w:r>
    </w:p>
    <w:p w:rsidR="00EF3111" w:rsidRPr="00EF3111" w:rsidRDefault="00EF3111" w:rsidP="00EF3111">
      <w:pPr>
        <w:pStyle w:val="NoSpacing"/>
      </w:pPr>
    </w:p>
    <w:p w:rsidR="00EF3111" w:rsidRDefault="00EF3111" w:rsidP="00EF3111">
      <w:pPr>
        <w:pStyle w:val="NoSpacing"/>
      </w:pPr>
      <w:r w:rsidRPr="00EF3111">
        <w:t xml:space="preserve">Mental health issues may be: </w:t>
      </w:r>
    </w:p>
    <w:p w:rsidR="00EF3111" w:rsidRPr="00EF3111" w:rsidRDefault="00EF3111" w:rsidP="00EF3111">
      <w:pPr>
        <w:pStyle w:val="NoSpacing"/>
      </w:pPr>
    </w:p>
    <w:p w:rsidR="00EF3111" w:rsidRPr="00EF3111" w:rsidRDefault="00EF3111" w:rsidP="009F59D3">
      <w:pPr>
        <w:pStyle w:val="NoSpacing"/>
        <w:numPr>
          <w:ilvl w:val="0"/>
          <w:numId w:val="27"/>
        </w:numPr>
      </w:pPr>
      <w:r w:rsidRPr="00EF3111">
        <w:t xml:space="preserve">Short-term, issue based, e.g. exam anxiety, or based around a specific, temporary circumstance; </w:t>
      </w:r>
    </w:p>
    <w:p w:rsidR="00EF3111" w:rsidRPr="00EF3111" w:rsidRDefault="00EF3111" w:rsidP="009F59D3">
      <w:pPr>
        <w:pStyle w:val="NoSpacing"/>
        <w:numPr>
          <w:ilvl w:val="0"/>
          <w:numId w:val="27"/>
        </w:numPr>
      </w:pPr>
      <w:r w:rsidRPr="00EF3111">
        <w:t>Long-term, issue based, e.g. bereavement, the effects of physical health prob</w:t>
      </w:r>
      <w:r w:rsidR="005430A3">
        <w:t>lems or disability or bullying.</w:t>
      </w:r>
    </w:p>
    <w:p w:rsidR="00EF3111" w:rsidRPr="00EF3111" w:rsidRDefault="00EF3111" w:rsidP="009F59D3">
      <w:pPr>
        <w:pStyle w:val="NoSpacing"/>
        <w:numPr>
          <w:ilvl w:val="0"/>
          <w:numId w:val="27"/>
        </w:numPr>
      </w:pPr>
      <w:r w:rsidRPr="00EF3111">
        <w:t xml:space="preserve">Long-term, deep rooted, e.g. complex psychological disorders that need professional intervention. </w:t>
      </w:r>
    </w:p>
    <w:p w:rsidR="00EF3111" w:rsidRPr="00EF3111" w:rsidRDefault="00EF3111" w:rsidP="00EF3111">
      <w:pPr>
        <w:pStyle w:val="NoSpacing"/>
      </w:pPr>
    </w:p>
    <w:p w:rsidR="00EF3111" w:rsidRDefault="00EF3111" w:rsidP="00EF3111">
      <w:pPr>
        <w:pStyle w:val="NoSpacing"/>
      </w:pPr>
      <w:r w:rsidRPr="00EF3111">
        <w:t xml:space="preserve">The most common mental health issues to be identified by or disclosed to a member of staff are: </w:t>
      </w:r>
    </w:p>
    <w:p w:rsidR="00EF3111" w:rsidRPr="00EF3111" w:rsidRDefault="00EF3111" w:rsidP="00EF3111">
      <w:pPr>
        <w:pStyle w:val="NoSpacing"/>
      </w:pPr>
    </w:p>
    <w:p w:rsidR="00EF3111" w:rsidRPr="00EF3111" w:rsidRDefault="00EF3111" w:rsidP="009F59D3">
      <w:pPr>
        <w:pStyle w:val="NoSpacing"/>
        <w:numPr>
          <w:ilvl w:val="0"/>
          <w:numId w:val="27"/>
        </w:numPr>
      </w:pPr>
      <w:r w:rsidRPr="00EF3111">
        <w:t>Self-harm</w:t>
      </w:r>
      <w:r>
        <w:t>.</w:t>
      </w:r>
      <w:r w:rsidRPr="00EF3111">
        <w:t xml:space="preserve"> </w:t>
      </w:r>
    </w:p>
    <w:p w:rsidR="00EF3111" w:rsidRPr="00EF3111" w:rsidRDefault="00EF3111" w:rsidP="009F59D3">
      <w:pPr>
        <w:pStyle w:val="NoSpacing"/>
        <w:numPr>
          <w:ilvl w:val="0"/>
          <w:numId w:val="27"/>
        </w:numPr>
      </w:pPr>
      <w:r>
        <w:t>Eating disorders.</w:t>
      </w:r>
    </w:p>
    <w:p w:rsidR="00945E10" w:rsidRDefault="00EF3111" w:rsidP="009F59D3">
      <w:pPr>
        <w:pStyle w:val="NoSpacing"/>
        <w:numPr>
          <w:ilvl w:val="0"/>
          <w:numId w:val="27"/>
        </w:numPr>
      </w:pPr>
      <w:r w:rsidRPr="00EF3111">
        <w:t>Anxiety</w:t>
      </w:r>
      <w:r>
        <w:t>.</w:t>
      </w:r>
      <w:r w:rsidRPr="00EF3111">
        <w:t xml:space="preserve"> </w:t>
      </w:r>
    </w:p>
    <w:p w:rsidR="00945E10" w:rsidRPr="00945E10" w:rsidRDefault="00945E10" w:rsidP="009F59D3">
      <w:pPr>
        <w:pStyle w:val="NoSpacing"/>
        <w:numPr>
          <w:ilvl w:val="0"/>
          <w:numId w:val="27"/>
        </w:numPr>
      </w:pPr>
      <w:r w:rsidRPr="009F59D3">
        <w:t>Depression</w:t>
      </w:r>
      <w:r w:rsidR="009F59D3">
        <w:rPr>
          <w:rFonts w:ascii="Calibri" w:hAnsi="Calibri" w:cs="Calibri"/>
          <w:color w:val="000000"/>
        </w:rPr>
        <w:t>.</w:t>
      </w:r>
    </w:p>
    <w:p w:rsidR="00945E10" w:rsidRPr="00945E10" w:rsidRDefault="00945E10" w:rsidP="008D0744">
      <w:pPr>
        <w:pStyle w:val="NoSpacing"/>
        <w:ind w:left="720"/>
      </w:pPr>
    </w:p>
    <w:p w:rsidR="00945E10" w:rsidRPr="00945E10" w:rsidRDefault="00945E10" w:rsidP="00945E10">
      <w:pPr>
        <w:autoSpaceDE w:val="0"/>
        <w:autoSpaceDN w:val="0"/>
        <w:adjustRightInd w:val="0"/>
        <w:spacing w:after="0" w:line="240" w:lineRule="auto"/>
        <w:rPr>
          <w:rFonts w:ascii="Calibri" w:hAnsi="Calibri" w:cs="Calibri"/>
          <w:color w:val="000000"/>
        </w:rPr>
      </w:pPr>
      <w:r w:rsidRPr="00945E10">
        <w:rPr>
          <w:rFonts w:ascii="Calibri" w:hAnsi="Calibri" w:cs="Calibri"/>
          <w:color w:val="000000"/>
        </w:rPr>
        <w:t xml:space="preserve">These often interlink or overlap and may be serious or moderate, short- or long-term. Any or all of these may be noticed by staff or may be disclosed directly by students, or their parents/carers/friends, to a member of staff. </w:t>
      </w:r>
    </w:p>
    <w:p w:rsidR="00945E10" w:rsidRPr="00945E10" w:rsidRDefault="00945E10" w:rsidP="00945E10">
      <w:pPr>
        <w:pStyle w:val="Heading2"/>
        <w:rPr>
          <w:rFonts w:asciiTheme="minorHAnsi" w:hAnsiTheme="minorHAnsi"/>
          <w:color w:val="auto"/>
          <w:sz w:val="22"/>
          <w:szCs w:val="22"/>
        </w:rPr>
      </w:pPr>
      <w:bookmarkStart w:id="7" w:name="_Toc453926512"/>
      <w:r w:rsidRPr="00945E10">
        <w:rPr>
          <w:rFonts w:asciiTheme="minorHAnsi" w:hAnsiTheme="minorHAnsi"/>
          <w:color w:val="auto"/>
          <w:sz w:val="22"/>
          <w:szCs w:val="22"/>
        </w:rPr>
        <w:t>6.1 Self-harm</w:t>
      </w:r>
      <w:bookmarkEnd w:id="7"/>
      <w:r w:rsidRPr="00945E10">
        <w:rPr>
          <w:rFonts w:asciiTheme="minorHAnsi" w:hAnsiTheme="minorHAnsi"/>
          <w:color w:val="auto"/>
          <w:sz w:val="22"/>
          <w:szCs w:val="22"/>
        </w:rPr>
        <w:t xml:space="preserve"> </w:t>
      </w:r>
    </w:p>
    <w:p w:rsidR="00945E10" w:rsidRDefault="00945E10" w:rsidP="00945E10">
      <w:pPr>
        <w:autoSpaceDE w:val="0"/>
        <w:autoSpaceDN w:val="0"/>
        <w:adjustRightInd w:val="0"/>
        <w:spacing w:after="18" w:line="240" w:lineRule="auto"/>
        <w:rPr>
          <w:rFonts w:ascii="Calibri" w:hAnsi="Calibri" w:cs="Calibri"/>
          <w:color w:val="000000"/>
          <w:sz w:val="23"/>
          <w:szCs w:val="23"/>
        </w:rPr>
      </w:pPr>
    </w:p>
    <w:p w:rsidR="00C327EE" w:rsidRDefault="00945E10" w:rsidP="00945E10">
      <w:pPr>
        <w:autoSpaceDE w:val="0"/>
        <w:autoSpaceDN w:val="0"/>
        <w:adjustRightInd w:val="0"/>
        <w:spacing w:after="18" w:line="240" w:lineRule="auto"/>
        <w:rPr>
          <w:rFonts w:ascii="Calibri" w:hAnsi="Calibri" w:cs="Calibri"/>
          <w:color w:val="000000"/>
        </w:rPr>
      </w:pPr>
      <w:r>
        <w:rPr>
          <w:rFonts w:ascii="Calibri" w:hAnsi="Calibri" w:cs="Calibri"/>
          <w:color w:val="000000"/>
          <w:sz w:val="23"/>
          <w:szCs w:val="23"/>
        </w:rPr>
        <w:t>H</w:t>
      </w:r>
      <w:r w:rsidRPr="00945E10">
        <w:rPr>
          <w:rFonts w:ascii="Calibri" w:hAnsi="Calibri" w:cs="Calibri"/>
          <w:color w:val="000000"/>
        </w:rPr>
        <w:t>a</w:t>
      </w:r>
      <w:r w:rsidR="00C327EE">
        <w:rPr>
          <w:rFonts w:ascii="Calibri" w:hAnsi="Calibri" w:cs="Calibri"/>
          <w:color w:val="000000"/>
        </w:rPr>
        <w:t>rm to oneself in order to cope.</w:t>
      </w:r>
    </w:p>
    <w:p w:rsidR="00C327EE" w:rsidRDefault="00C327EE" w:rsidP="00945E10">
      <w:pPr>
        <w:autoSpaceDE w:val="0"/>
        <w:autoSpaceDN w:val="0"/>
        <w:adjustRightInd w:val="0"/>
        <w:spacing w:after="18" w:line="240" w:lineRule="auto"/>
        <w:rPr>
          <w:rFonts w:ascii="Calibri" w:hAnsi="Calibri" w:cs="Calibri"/>
          <w:color w:val="000000"/>
        </w:rPr>
      </w:pPr>
    </w:p>
    <w:p w:rsidR="00C327EE" w:rsidRDefault="00C327EE" w:rsidP="00945E10">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Symptoms </w:t>
      </w:r>
      <w:r w:rsidR="00945E10" w:rsidRPr="00945E10">
        <w:rPr>
          <w:rFonts w:ascii="Calibri" w:hAnsi="Calibri" w:cs="Calibri"/>
          <w:color w:val="000000"/>
        </w:rPr>
        <w:t>including cutting, burning, consuming poison, scratching, banging, punching, hitting, biting</w:t>
      </w:r>
      <w:r w:rsidR="00945E10">
        <w:rPr>
          <w:rFonts w:ascii="Calibri" w:hAnsi="Calibri" w:cs="Calibri"/>
          <w:color w:val="000000"/>
        </w:rPr>
        <w:t xml:space="preserve">, eating disorders and </w:t>
      </w:r>
      <w:r w:rsidR="00945E10" w:rsidRPr="00945E10">
        <w:rPr>
          <w:rFonts w:ascii="Calibri" w:hAnsi="Calibri" w:cs="Calibri"/>
          <w:color w:val="000000"/>
        </w:rPr>
        <w:t xml:space="preserve">substance abuse. </w:t>
      </w:r>
    </w:p>
    <w:p w:rsidR="00C327EE" w:rsidRDefault="00C327EE" w:rsidP="00945E10">
      <w:pPr>
        <w:autoSpaceDE w:val="0"/>
        <w:autoSpaceDN w:val="0"/>
        <w:adjustRightInd w:val="0"/>
        <w:spacing w:after="18" w:line="240" w:lineRule="auto"/>
        <w:rPr>
          <w:rFonts w:ascii="Calibri" w:hAnsi="Calibri" w:cs="Calibri"/>
          <w:color w:val="000000"/>
        </w:rPr>
      </w:pPr>
    </w:p>
    <w:p w:rsidR="00945E10" w:rsidRDefault="00945E10" w:rsidP="00945E10">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It is usually a coping mechanism rather than a precursor to suicide. </w:t>
      </w:r>
    </w:p>
    <w:p w:rsidR="00945E10" w:rsidRDefault="00945E10" w:rsidP="00945E10">
      <w:pPr>
        <w:autoSpaceDE w:val="0"/>
        <w:autoSpaceDN w:val="0"/>
        <w:adjustRightInd w:val="0"/>
        <w:spacing w:after="18" w:line="240" w:lineRule="auto"/>
        <w:rPr>
          <w:rFonts w:ascii="Calibri" w:hAnsi="Calibri" w:cs="Calibri"/>
          <w:color w:val="000000"/>
        </w:rPr>
      </w:pPr>
    </w:p>
    <w:p w:rsidR="00C327EE" w:rsidRDefault="00C327EE" w:rsidP="00945E10">
      <w:pPr>
        <w:autoSpaceDE w:val="0"/>
        <w:autoSpaceDN w:val="0"/>
        <w:adjustRightInd w:val="0"/>
        <w:spacing w:after="18" w:line="240" w:lineRule="auto"/>
        <w:rPr>
          <w:rFonts w:ascii="Calibri" w:hAnsi="Calibri" w:cs="Calibri"/>
          <w:color w:val="000000"/>
        </w:rPr>
      </w:pPr>
    </w:p>
    <w:p w:rsidR="00C327EE" w:rsidRDefault="00C327EE" w:rsidP="00945E10">
      <w:pPr>
        <w:autoSpaceDE w:val="0"/>
        <w:autoSpaceDN w:val="0"/>
        <w:adjustRightInd w:val="0"/>
        <w:spacing w:after="18" w:line="240" w:lineRule="auto"/>
        <w:rPr>
          <w:rFonts w:ascii="Calibri" w:hAnsi="Calibri" w:cs="Calibri"/>
          <w:color w:val="000000"/>
        </w:rPr>
      </w:pPr>
    </w:p>
    <w:p w:rsidR="00945E10" w:rsidRPr="00945E10" w:rsidRDefault="00945E10" w:rsidP="00945E10">
      <w:pPr>
        <w:pStyle w:val="Heading2"/>
        <w:rPr>
          <w:rFonts w:asciiTheme="minorHAnsi" w:hAnsiTheme="minorHAnsi"/>
          <w:color w:val="auto"/>
          <w:sz w:val="22"/>
          <w:szCs w:val="22"/>
        </w:rPr>
      </w:pPr>
      <w:bookmarkStart w:id="8" w:name="_Toc453926513"/>
      <w:r>
        <w:rPr>
          <w:rFonts w:asciiTheme="minorHAnsi" w:hAnsiTheme="minorHAnsi"/>
          <w:color w:val="auto"/>
          <w:sz w:val="22"/>
          <w:szCs w:val="22"/>
        </w:rPr>
        <w:lastRenderedPageBreak/>
        <w:t>6.2</w:t>
      </w:r>
      <w:r w:rsidRPr="00945E10">
        <w:rPr>
          <w:rFonts w:asciiTheme="minorHAnsi" w:hAnsiTheme="minorHAnsi"/>
          <w:color w:val="auto"/>
          <w:sz w:val="22"/>
          <w:szCs w:val="22"/>
        </w:rPr>
        <w:t xml:space="preserve"> </w:t>
      </w:r>
      <w:r>
        <w:rPr>
          <w:rFonts w:asciiTheme="minorHAnsi" w:hAnsiTheme="minorHAnsi"/>
          <w:color w:val="auto"/>
          <w:sz w:val="22"/>
          <w:szCs w:val="22"/>
        </w:rPr>
        <w:t>Eating Disorders</w:t>
      </w:r>
      <w:bookmarkEnd w:id="8"/>
    </w:p>
    <w:p w:rsidR="00945E10" w:rsidRDefault="00945E10" w:rsidP="00945E10">
      <w:pPr>
        <w:autoSpaceDE w:val="0"/>
        <w:autoSpaceDN w:val="0"/>
        <w:adjustRightInd w:val="0"/>
        <w:spacing w:after="18" w:line="240" w:lineRule="auto"/>
        <w:rPr>
          <w:rFonts w:ascii="Calibri" w:hAnsi="Calibri" w:cs="Calibri"/>
          <w:color w:val="000000"/>
        </w:rPr>
      </w:pPr>
    </w:p>
    <w:p w:rsidR="00945E10" w:rsidRDefault="00945E10" w:rsidP="00945E10">
      <w:pPr>
        <w:autoSpaceDE w:val="0"/>
        <w:autoSpaceDN w:val="0"/>
        <w:adjustRightInd w:val="0"/>
        <w:spacing w:after="18" w:line="240" w:lineRule="auto"/>
        <w:rPr>
          <w:rFonts w:ascii="Calibri" w:hAnsi="Calibri" w:cs="Calibri"/>
          <w:color w:val="000000"/>
        </w:rPr>
      </w:pPr>
      <w:r w:rsidRPr="00945E10">
        <w:rPr>
          <w:rFonts w:ascii="Calibri" w:hAnsi="Calibri" w:cs="Calibri"/>
          <w:color w:val="000000"/>
        </w:rPr>
        <w:t>Diagnosable eating disorders include Anorexia Nervosa (limiting eating excessively); Bulimia Ne</w:t>
      </w:r>
      <w:r>
        <w:rPr>
          <w:rFonts w:ascii="Calibri" w:hAnsi="Calibri" w:cs="Calibri"/>
          <w:color w:val="000000"/>
        </w:rPr>
        <w:t>rvosa (a cycle of binge-purge - t</w:t>
      </w:r>
      <w:r w:rsidRPr="00945E10">
        <w:rPr>
          <w:rFonts w:ascii="Calibri" w:hAnsi="Calibri" w:cs="Calibri"/>
          <w:color w:val="000000"/>
        </w:rPr>
        <w:t xml:space="preserve">he purge may be vomiting, laxatives or overuse of exercise); Binge Eating Disorder (binging without purging) or Other Specified Feeding and Eating Disorders (OSFED). </w:t>
      </w:r>
    </w:p>
    <w:p w:rsidR="00945E10" w:rsidRDefault="00945E10" w:rsidP="00945E10">
      <w:pPr>
        <w:autoSpaceDE w:val="0"/>
        <w:autoSpaceDN w:val="0"/>
        <w:adjustRightInd w:val="0"/>
        <w:spacing w:after="18" w:line="240" w:lineRule="auto"/>
        <w:rPr>
          <w:rFonts w:ascii="Calibri" w:hAnsi="Calibri" w:cs="Calibri"/>
          <w:color w:val="000000"/>
        </w:rPr>
      </w:pPr>
    </w:p>
    <w:tbl>
      <w:tblPr>
        <w:tblStyle w:val="TableGrid"/>
        <w:tblW w:w="0" w:type="auto"/>
        <w:tblLook w:val="04A0" w:firstRow="1" w:lastRow="0" w:firstColumn="1" w:lastColumn="0" w:noHBand="0" w:noVBand="1"/>
      </w:tblPr>
      <w:tblGrid>
        <w:gridCol w:w="2263"/>
        <w:gridCol w:w="11685"/>
      </w:tblGrid>
      <w:tr w:rsidR="00945E10" w:rsidTr="00815348">
        <w:tc>
          <w:tcPr>
            <w:tcW w:w="2263" w:type="dxa"/>
            <w:shd w:val="clear" w:color="auto" w:fill="F2F2F2" w:themeFill="background1" w:themeFillShade="F2"/>
          </w:tcPr>
          <w:p w:rsidR="00945E10" w:rsidRPr="00945E10" w:rsidRDefault="00945E10" w:rsidP="00945E10">
            <w:pPr>
              <w:pStyle w:val="NoSpacing"/>
              <w:jc w:val="center"/>
              <w:rPr>
                <w:b/>
              </w:rPr>
            </w:pPr>
            <w:r w:rsidRPr="00945E10">
              <w:rPr>
                <w:b/>
              </w:rPr>
              <w:t>Eating Disorder</w:t>
            </w:r>
          </w:p>
        </w:tc>
        <w:tc>
          <w:tcPr>
            <w:tcW w:w="11685" w:type="dxa"/>
            <w:shd w:val="clear" w:color="auto" w:fill="F2F2F2" w:themeFill="background1" w:themeFillShade="F2"/>
          </w:tcPr>
          <w:p w:rsidR="00945E10" w:rsidRPr="00945E10" w:rsidRDefault="00945E10" w:rsidP="00945E10">
            <w:pPr>
              <w:pStyle w:val="NoSpacing"/>
              <w:jc w:val="center"/>
              <w:rPr>
                <w:b/>
              </w:rPr>
            </w:pPr>
            <w:r w:rsidRPr="00945E10">
              <w:rPr>
                <w:b/>
              </w:rPr>
              <w:t>Symptoms</w:t>
            </w:r>
          </w:p>
        </w:tc>
      </w:tr>
      <w:tr w:rsidR="00945E10" w:rsidTr="00815348">
        <w:tc>
          <w:tcPr>
            <w:tcW w:w="2263" w:type="dxa"/>
          </w:tcPr>
          <w:p w:rsidR="00945E10" w:rsidRDefault="00945E10" w:rsidP="00945E10">
            <w:pPr>
              <w:pStyle w:val="NoSpacing"/>
            </w:pPr>
            <w:r>
              <w:t>Anorexia</w:t>
            </w:r>
          </w:p>
        </w:tc>
        <w:tc>
          <w:tcPr>
            <w:tcW w:w="11685" w:type="dxa"/>
          </w:tcPr>
          <w:p w:rsidR="00945E10" w:rsidRDefault="00815348" w:rsidP="00945E10">
            <w:pPr>
              <w:pStyle w:val="NoSpacing"/>
            </w:pPr>
            <w:r w:rsidRPr="00945E10">
              <w:t xml:space="preserve">Low weight, fear of weight gain; very ordered, controlling or rule-based eating; skipping lunch or being involved in other activities at lunchtime. </w:t>
            </w:r>
          </w:p>
        </w:tc>
      </w:tr>
      <w:tr w:rsidR="00945E10" w:rsidTr="00815348">
        <w:tc>
          <w:tcPr>
            <w:tcW w:w="2263" w:type="dxa"/>
          </w:tcPr>
          <w:p w:rsidR="00945E10" w:rsidRDefault="00815348" w:rsidP="00945E10">
            <w:pPr>
              <w:pStyle w:val="NoSpacing"/>
            </w:pPr>
            <w:r w:rsidRPr="00945E10">
              <w:t>Bulimia</w:t>
            </w:r>
          </w:p>
        </w:tc>
        <w:tc>
          <w:tcPr>
            <w:tcW w:w="11685" w:type="dxa"/>
          </w:tcPr>
          <w:p w:rsidR="00945E10" w:rsidRDefault="00815348" w:rsidP="00945E10">
            <w:pPr>
              <w:pStyle w:val="NoSpacing"/>
            </w:pPr>
            <w:r>
              <w:t>Frequent visits to the toilet, especially after eating; o</w:t>
            </w:r>
            <w:r w:rsidRPr="00945E10">
              <w:t xml:space="preserve">bsessive attitude to exercise. </w:t>
            </w:r>
          </w:p>
        </w:tc>
      </w:tr>
      <w:tr w:rsidR="00945E10" w:rsidTr="00815348">
        <w:tc>
          <w:tcPr>
            <w:tcW w:w="2263" w:type="dxa"/>
          </w:tcPr>
          <w:p w:rsidR="00945E10" w:rsidRDefault="00815348" w:rsidP="00945E10">
            <w:pPr>
              <w:pStyle w:val="NoSpacing"/>
            </w:pPr>
            <w:r>
              <w:t>Binge Eating D</w:t>
            </w:r>
            <w:r w:rsidRPr="00945E10">
              <w:t>isorder</w:t>
            </w:r>
          </w:p>
        </w:tc>
        <w:tc>
          <w:tcPr>
            <w:tcW w:w="11685" w:type="dxa"/>
          </w:tcPr>
          <w:p w:rsidR="00945E10" w:rsidRDefault="00815348" w:rsidP="00945E10">
            <w:pPr>
              <w:pStyle w:val="NoSpacing"/>
            </w:pPr>
            <w:r>
              <w:t>W</w:t>
            </w:r>
            <w:r w:rsidRPr="00945E10">
              <w:t>eight increases despite publicly health</w:t>
            </w:r>
            <w:r>
              <w:t>y choices (binging in secret); s</w:t>
            </w:r>
            <w:r w:rsidRPr="00945E10">
              <w:t>hame and guilt</w:t>
            </w:r>
            <w:r>
              <w:t>.</w:t>
            </w:r>
          </w:p>
        </w:tc>
      </w:tr>
    </w:tbl>
    <w:p w:rsidR="00945E10" w:rsidRPr="00945E10" w:rsidRDefault="00945E10" w:rsidP="00945E10">
      <w:pPr>
        <w:pStyle w:val="NoSpacing"/>
      </w:pPr>
    </w:p>
    <w:p w:rsidR="008D0744" w:rsidRDefault="008D0744" w:rsidP="008D0744">
      <w:pPr>
        <w:pStyle w:val="Heading2"/>
        <w:rPr>
          <w:rFonts w:asciiTheme="minorHAnsi" w:hAnsiTheme="minorHAnsi"/>
          <w:color w:val="auto"/>
          <w:sz w:val="22"/>
          <w:szCs w:val="22"/>
        </w:rPr>
      </w:pPr>
      <w:bookmarkStart w:id="9" w:name="_Toc453926514"/>
      <w:r>
        <w:rPr>
          <w:rFonts w:asciiTheme="minorHAnsi" w:hAnsiTheme="minorHAnsi"/>
          <w:color w:val="auto"/>
          <w:sz w:val="22"/>
          <w:szCs w:val="22"/>
        </w:rPr>
        <w:t>6.3 Anxiety</w:t>
      </w:r>
      <w:bookmarkEnd w:id="9"/>
    </w:p>
    <w:p w:rsidR="008D0744" w:rsidRPr="008D0744" w:rsidRDefault="008D0744" w:rsidP="008D0744">
      <w:pPr>
        <w:pStyle w:val="NoSpacing"/>
      </w:pPr>
    </w:p>
    <w:p w:rsidR="00945E10" w:rsidRDefault="00945E10" w:rsidP="00945E10">
      <w:pPr>
        <w:autoSpaceDE w:val="0"/>
        <w:autoSpaceDN w:val="0"/>
        <w:adjustRightInd w:val="0"/>
        <w:spacing w:after="18" w:line="240" w:lineRule="auto"/>
        <w:rPr>
          <w:rFonts w:ascii="Calibri" w:hAnsi="Calibri" w:cs="Calibri"/>
          <w:color w:val="000000"/>
        </w:rPr>
      </w:pPr>
      <w:r w:rsidRPr="00945E10">
        <w:rPr>
          <w:rFonts w:ascii="Calibri" w:hAnsi="Calibri" w:cs="Calibri"/>
          <w:color w:val="000000"/>
        </w:rPr>
        <w:t xml:space="preserve">Anxiety ranges from ‘generalised anxiety disorder’, which causes general, non-specific anxiety, to panic disorder, social phobia and other phobias, OCD and separation anxiety disorder. </w:t>
      </w:r>
    </w:p>
    <w:p w:rsidR="008D0744" w:rsidRPr="00945E10" w:rsidRDefault="008D0744" w:rsidP="00945E10">
      <w:pPr>
        <w:autoSpaceDE w:val="0"/>
        <w:autoSpaceDN w:val="0"/>
        <w:adjustRightInd w:val="0"/>
        <w:spacing w:after="18" w:line="240" w:lineRule="auto"/>
        <w:rPr>
          <w:rFonts w:ascii="Calibri" w:hAnsi="Calibri" w:cs="Calibri"/>
          <w:color w:val="000000"/>
        </w:rPr>
      </w:pPr>
    </w:p>
    <w:p w:rsidR="00945E10" w:rsidRPr="00945E10" w:rsidRDefault="008D0744" w:rsidP="008D0744">
      <w:pPr>
        <w:autoSpaceDE w:val="0"/>
        <w:autoSpaceDN w:val="0"/>
        <w:adjustRightInd w:val="0"/>
        <w:spacing w:after="18" w:line="240" w:lineRule="auto"/>
        <w:rPr>
          <w:rFonts w:ascii="Calibri" w:hAnsi="Calibri" w:cs="Calibri"/>
          <w:color w:val="000000"/>
        </w:rPr>
      </w:pPr>
      <w:r>
        <w:rPr>
          <w:rFonts w:ascii="Calibri" w:hAnsi="Calibri" w:cs="Calibri"/>
          <w:color w:val="000000"/>
        </w:rPr>
        <w:t>Symptoms</w:t>
      </w:r>
      <w:r w:rsidR="005430A3">
        <w:rPr>
          <w:rFonts w:ascii="Calibri" w:hAnsi="Calibri" w:cs="Calibri"/>
          <w:color w:val="000000"/>
        </w:rPr>
        <w:t xml:space="preserve"> i</w:t>
      </w:r>
      <w:r>
        <w:rPr>
          <w:rFonts w:ascii="Calibri" w:hAnsi="Calibri" w:cs="Calibri"/>
          <w:color w:val="000000"/>
        </w:rPr>
        <w:t>nclude: w</w:t>
      </w:r>
      <w:r w:rsidR="00945E10" w:rsidRPr="00945E10">
        <w:rPr>
          <w:rFonts w:ascii="Calibri" w:hAnsi="Calibri" w:cs="Calibri"/>
          <w:color w:val="000000"/>
        </w:rPr>
        <w:t xml:space="preserve">ithdrawal or reluctance to be involved in unexpected or unplanned activities; shaking and high levels of hyperactivity; difficulties in social situations. </w:t>
      </w:r>
    </w:p>
    <w:p w:rsidR="00945E10" w:rsidRDefault="008D0744" w:rsidP="008D0744">
      <w:pPr>
        <w:pStyle w:val="Heading2"/>
        <w:rPr>
          <w:rFonts w:asciiTheme="minorHAnsi" w:hAnsiTheme="minorHAnsi"/>
          <w:color w:val="auto"/>
          <w:sz w:val="22"/>
          <w:szCs w:val="22"/>
        </w:rPr>
      </w:pPr>
      <w:bookmarkStart w:id="10" w:name="_Toc453926515"/>
      <w:r>
        <w:rPr>
          <w:rFonts w:asciiTheme="minorHAnsi" w:hAnsiTheme="minorHAnsi"/>
          <w:color w:val="auto"/>
          <w:sz w:val="22"/>
          <w:szCs w:val="22"/>
        </w:rPr>
        <w:t>6.4 Depression</w:t>
      </w:r>
      <w:bookmarkEnd w:id="10"/>
    </w:p>
    <w:p w:rsidR="008D0744" w:rsidRDefault="008D0744" w:rsidP="00945E10">
      <w:pPr>
        <w:autoSpaceDE w:val="0"/>
        <w:autoSpaceDN w:val="0"/>
        <w:adjustRightInd w:val="0"/>
        <w:spacing w:after="0" w:line="240" w:lineRule="auto"/>
      </w:pPr>
    </w:p>
    <w:p w:rsidR="005430A3" w:rsidRDefault="00945E10" w:rsidP="005430A3">
      <w:pPr>
        <w:pStyle w:val="Default"/>
        <w:rPr>
          <w:rFonts w:ascii="Calibri" w:hAnsi="Calibri" w:cs="Calibri"/>
          <w:sz w:val="22"/>
          <w:szCs w:val="22"/>
        </w:rPr>
      </w:pPr>
      <w:r w:rsidRPr="00945E10">
        <w:rPr>
          <w:rFonts w:ascii="Calibri" w:hAnsi="Calibri" w:cs="Calibri"/>
          <w:sz w:val="22"/>
          <w:szCs w:val="22"/>
        </w:rPr>
        <w:t xml:space="preserve">Feeling low or sad is a common feeling for children and adults, and a normal reaction </w:t>
      </w:r>
      <w:r w:rsidR="008F5023" w:rsidRPr="008F5023">
        <w:rPr>
          <w:rFonts w:ascii="Calibri" w:hAnsi="Calibri" w:cs="Calibri"/>
          <w:sz w:val="22"/>
          <w:szCs w:val="22"/>
        </w:rPr>
        <w:t xml:space="preserve">to experiences that are stressful or upsetting. When these feelings dominate and interfere with a person’s life, it can become an illness. </w:t>
      </w:r>
      <w:r w:rsidR="002B674B" w:rsidRPr="008F5023">
        <w:rPr>
          <w:rFonts w:ascii="Calibri" w:hAnsi="Calibri" w:cs="Calibri"/>
          <w:sz w:val="22"/>
          <w:szCs w:val="22"/>
        </w:rPr>
        <w:t xml:space="preserve">According to the Royal College of Psychiatrists, depression affects 2% of children under 12 years old, and 5% of teenagers. </w:t>
      </w:r>
    </w:p>
    <w:p w:rsidR="005430A3" w:rsidRDefault="005430A3" w:rsidP="005430A3">
      <w:pPr>
        <w:pStyle w:val="Default"/>
        <w:rPr>
          <w:rFonts w:ascii="Calibri" w:hAnsi="Calibri" w:cs="Calibri"/>
          <w:sz w:val="22"/>
          <w:szCs w:val="22"/>
        </w:rPr>
      </w:pPr>
    </w:p>
    <w:p w:rsidR="00443D3C" w:rsidRDefault="005430A3" w:rsidP="005430A3">
      <w:pPr>
        <w:autoSpaceDE w:val="0"/>
        <w:autoSpaceDN w:val="0"/>
        <w:adjustRightInd w:val="0"/>
        <w:spacing w:after="18" w:line="240" w:lineRule="auto"/>
        <w:rPr>
          <w:rFonts w:ascii="Calibri" w:hAnsi="Calibri" w:cs="Calibri"/>
          <w:color w:val="000000"/>
        </w:rPr>
      </w:pPr>
      <w:r>
        <w:rPr>
          <w:rFonts w:ascii="Calibri" w:hAnsi="Calibri" w:cs="Calibri"/>
        </w:rPr>
        <w:t>Symptoms include: w</w:t>
      </w:r>
      <w:r w:rsidRPr="008F5023">
        <w:rPr>
          <w:rFonts w:ascii="Calibri" w:hAnsi="Calibri" w:cs="Calibri"/>
          <w:color w:val="000000"/>
        </w:rPr>
        <w:t>ithdrawal from social groups, isolati</w:t>
      </w:r>
      <w:r w:rsidR="00443D3C">
        <w:rPr>
          <w:rFonts w:ascii="Calibri" w:hAnsi="Calibri" w:cs="Calibri"/>
          <w:color w:val="000000"/>
        </w:rPr>
        <w:t>on and a reluctance to engage; a</w:t>
      </w:r>
      <w:r w:rsidRPr="008F5023">
        <w:rPr>
          <w:rFonts w:ascii="Calibri" w:hAnsi="Calibri" w:cs="Calibri"/>
          <w:color w:val="000000"/>
        </w:rPr>
        <w:t xml:space="preserve">pathy and/or excessive tiredness. </w:t>
      </w:r>
    </w:p>
    <w:p w:rsidR="00443D3C" w:rsidRDefault="00443D3C" w:rsidP="005430A3">
      <w:pPr>
        <w:autoSpaceDE w:val="0"/>
        <w:autoSpaceDN w:val="0"/>
        <w:adjustRightInd w:val="0"/>
        <w:spacing w:after="18" w:line="240" w:lineRule="auto"/>
        <w:rPr>
          <w:rFonts w:ascii="Calibri" w:hAnsi="Calibri" w:cs="Calibri"/>
          <w:color w:val="000000"/>
        </w:rPr>
      </w:pPr>
    </w:p>
    <w:p w:rsidR="00443D3C" w:rsidRDefault="00443D3C" w:rsidP="005430A3">
      <w:pPr>
        <w:autoSpaceDE w:val="0"/>
        <w:autoSpaceDN w:val="0"/>
        <w:adjustRightInd w:val="0"/>
        <w:spacing w:after="18" w:line="240" w:lineRule="auto"/>
        <w:rPr>
          <w:rFonts w:ascii="Calibri" w:hAnsi="Calibri" w:cs="Calibri"/>
          <w:color w:val="000000"/>
        </w:rPr>
      </w:pPr>
    </w:p>
    <w:p w:rsidR="00443D3C" w:rsidRDefault="00443D3C" w:rsidP="005430A3">
      <w:pPr>
        <w:autoSpaceDE w:val="0"/>
        <w:autoSpaceDN w:val="0"/>
        <w:adjustRightInd w:val="0"/>
        <w:spacing w:after="18" w:line="240" w:lineRule="auto"/>
        <w:rPr>
          <w:rFonts w:ascii="Calibri" w:hAnsi="Calibri" w:cs="Calibri"/>
          <w:color w:val="000000"/>
        </w:rPr>
      </w:pPr>
    </w:p>
    <w:p w:rsidR="00443D3C" w:rsidRPr="008F5023" w:rsidRDefault="00443D3C" w:rsidP="005430A3">
      <w:pPr>
        <w:autoSpaceDE w:val="0"/>
        <w:autoSpaceDN w:val="0"/>
        <w:adjustRightInd w:val="0"/>
        <w:spacing w:after="18" w:line="240" w:lineRule="auto"/>
        <w:rPr>
          <w:rFonts w:ascii="Calibri" w:hAnsi="Calibri" w:cs="Calibri"/>
          <w:color w:val="000000"/>
        </w:rPr>
      </w:pPr>
    </w:p>
    <w:p w:rsidR="005430A3" w:rsidRDefault="005430A3" w:rsidP="005430A3">
      <w:pPr>
        <w:pStyle w:val="Default"/>
        <w:rPr>
          <w:rFonts w:ascii="Calibri" w:hAnsi="Calibri" w:cs="Calibri"/>
          <w:sz w:val="22"/>
          <w:szCs w:val="22"/>
        </w:rPr>
      </w:pPr>
    </w:p>
    <w:p w:rsidR="00443D3C" w:rsidRPr="00443D3C" w:rsidRDefault="00443D3C" w:rsidP="00443D3C">
      <w:pPr>
        <w:pStyle w:val="ListParagraph"/>
        <w:numPr>
          <w:ilvl w:val="0"/>
          <w:numId w:val="16"/>
        </w:numPr>
        <w:autoSpaceDE w:val="0"/>
        <w:autoSpaceDN w:val="0"/>
        <w:adjustRightInd w:val="0"/>
        <w:spacing w:after="0" w:line="240" w:lineRule="auto"/>
        <w:rPr>
          <w:rFonts w:eastAsiaTheme="majorEastAsia" w:cstheme="majorBidi"/>
          <w:b/>
          <w:bCs/>
          <w:sz w:val="28"/>
          <w:szCs w:val="28"/>
        </w:rPr>
      </w:pPr>
      <w:r w:rsidRPr="00443D3C">
        <w:rPr>
          <w:rFonts w:eastAsiaTheme="majorEastAsia" w:cstheme="majorBidi"/>
          <w:b/>
          <w:bCs/>
          <w:sz w:val="28"/>
          <w:szCs w:val="28"/>
        </w:rPr>
        <w:lastRenderedPageBreak/>
        <w:t xml:space="preserve">Referral </w:t>
      </w:r>
    </w:p>
    <w:p w:rsidR="00443D3C" w:rsidRPr="00443D3C" w:rsidRDefault="00443D3C" w:rsidP="00443D3C">
      <w:pPr>
        <w:pStyle w:val="NoSpacing"/>
        <w:rPr>
          <w:rFonts w:eastAsiaTheme="majorEastAsia"/>
        </w:rPr>
      </w:pPr>
    </w:p>
    <w:p w:rsidR="00443D3C" w:rsidRDefault="00443D3C" w:rsidP="00443D3C">
      <w:pPr>
        <w:autoSpaceDE w:val="0"/>
        <w:autoSpaceDN w:val="0"/>
        <w:adjustRightInd w:val="0"/>
        <w:spacing w:after="0" w:line="240" w:lineRule="auto"/>
        <w:rPr>
          <w:rFonts w:ascii="Calibri" w:hAnsi="Calibri" w:cs="Calibri"/>
          <w:color w:val="000000"/>
        </w:rPr>
      </w:pPr>
      <w:r w:rsidRPr="00443D3C">
        <w:rPr>
          <w:rFonts w:ascii="Calibri" w:hAnsi="Calibri" w:cs="Calibri"/>
          <w:color w:val="000000"/>
        </w:rPr>
        <w:t>Any staff member who is concerned about the mental h</w:t>
      </w:r>
      <w:r>
        <w:rPr>
          <w:rFonts w:ascii="Calibri" w:hAnsi="Calibri" w:cs="Calibri"/>
          <w:color w:val="000000"/>
        </w:rPr>
        <w:t xml:space="preserve">ealth or wellbeing of a pupil </w:t>
      </w:r>
      <w:r w:rsidRPr="00443D3C">
        <w:rPr>
          <w:rFonts w:ascii="Calibri" w:hAnsi="Calibri" w:cs="Calibri"/>
          <w:color w:val="000000"/>
        </w:rPr>
        <w:t>should</w:t>
      </w:r>
      <w:r>
        <w:rPr>
          <w:rFonts w:ascii="Calibri" w:hAnsi="Calibri" w:cs="Calibri"/>
          <w:color w:val="000000"/>
        </w:rPr>
        <w:t>,</w:t>
      </w:r>
      <w:r w:rsidRPr="00443D3C">
        <w:rPr>
          <w:rFonts w:ascii="Calibri" w:hAnsi="Calibri" w:cs="Calibri"/>
          <w:color w:val="000000"/>
        </w:rPr>
        <w:t xml:space="preserve"> in the first instance</w:t>
      </w:r>
      <w:r>
        <w:rPr>
          <w:rFonts w:ascii="Calibri" w:hAnsi="Calibri" w:cs="Calibri"/>
          <w:color w:val="000000"/>
        </w:rPr>
        <w:t>, speak to the pupil’s Head of House and/or SLT Link</w:t>
      </w:r>
      <w:r w:rsidRPr="00443D3C">
        <w:rPr>
          <w:rFonts w:ascii="Calibri" w:hAnsi="Calibri" w:cs="Calibri"/>
          <w:color w:val="000000"/>
        </w:rPr>
        <w:t xml:space="preserve">. If </w:t>
      </w:r>
      <w:r>
        <w:rPr>
          <w:rFonts w:ascii="Calibri" w:hAnsi="Calibri" w:cs="Calibri"/>
          <w:color w:val="000000"/>
        </w:rPr>
        <w:t>pupil</w:t>
      </w:r>
      <w:r w:rsidRPr="00443D3C">
        <w:rPr>
          <w:rFonts w:ascii="Calibri" w:hAnsi="Calibri" w:cs="Calibri"/>
          <w:color w:val="000000"/>
        </w:rPr>
        <w:t xml:space="preserve"> is in danger of i</w:t>
      </w:r>
      <w:r>
        <w:rPr>
          <w:rFonts w:ascii="Calibri" w:hAnsi="Calibri" w:cs="Calibri"/>
          <w:color w:val="000000"/>
        </w:rPr>
        <w:t>mmediate harm then the normal child protection</w:t>
      </w:r>
      <w:r w:rsidRPr="00443D3C">
        <w:rPr>
          <w:rFonts w:ascii="Calibri" w:hAnsi="Calibri" w:cs="Calibri"/>
          <w:color w:val="000000"/>
        </w:rPr>
        <w:t xml:space="preserve"> procedures should be followed </w:t>
      </w:r>
      <w:r>
        <w:rPr>
          <w:rFonts w:ascii="Calibri" w:hAnsi="Calibri" w:cs="Calibri"/>
          <w:color w:val="000000"/>
        </w:rPr>
        <w:t>– refer to the Academy’s Safeguarding Policy.</w:t>
      </w:r>
    </w:p>
    <w:p w:rsidR="00443D3C" w:rsidRDefault="00443D3C" w:rsidP="00443D3C">
      <w:pPr>
        <w:autoSpaceDE w:val="0"/>
        <w:autoSpaceDN w:val="0"/>
        <w:adjustRightInd w:val="0"/>
        <w:spacing w:after="0" w:line="240" w:lineRule="auto"/>
        <w:rPr>
          <w:rFonts w:ascii="Calibri" w:hAnsi="Calibri" w:cs="Calibri"/>
          <w:color w:val="000000"/>
        </w:rPr>
      </w:pPr>
    </w:p>
    <w:p w:rsidR="00945E10" w:rsidRPr="00945E10" w:rsidRDefault="00443D3C" w:rsidP="00443D3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the pupil </w:t>
      </w:r>
      <w:r w:rsidRPr="00443D3C">
        <w:rPr>
          <w:rFonts w:ascii="Calibri" w:hAnsi="Calibri" w:cs="Calibri"/>
          <w:color w:val="000000"/>
        </w:rPr>
        <w:t xml:space="preserve">presents a medical emergency then the normal procedures for medical emergencies should be followed, including alerting the first aid staff and contacting the emergency services if necessary. </w:t>
      </w:r>
    </w:p>
    <w:p w:rsidR="00945E10" w:rsidRPr="00EF3111" w:rsidRDefault="00945E10" w:rsidP="00945E10">
      <w:pPr>
        <w:pStyle w:val="NoSpacing"/>
      </w:pPr>
    </w:p>
    <w:p w:rsidR="005533BB" w:rsidRDefault="005533BB" w:rsidP="005533BB">
      <w:pPr>
        <w:pStyle w:val="ListParagraph"/>
        <w:numPr>
          <w:ilvl w:val="0"/>
          <w:numId w:val="16"/>
        </w:numPr>
        <w:autoSpaceDE w:val="0"/>
        <w:autoSpaceDN w:val="0"/>
        <w:adjustRightInd w:val="0"/>
        <w:spacing w:after="0" w:line="240" w:lineRule="auto"/>
        <w:rPr>
          <w:rFonts w:eastAsiaTheme="majorEastAsia" w:cstheme="majorBidi"/>
          <w:b/>
          <w:bCs/>
          <w:sz w:val="28"/>
          <w:szCs w:val="28"/>
        </w:rPr>
      </w:pPr>
      <w:r>
        <w:rPr>
          <w:rFonts w:eastAsiaTheme="majorEastAsia" w:cstheme="majorBidi"/>
          <w:b/>
          <w:bCs/>
          <w:sz w:val="28"/>
          <w:szCs w:val="28"/>
        </w:rPr>
        <w:t>Supporting Pupils with Mental Health I</w:t>
      </w:r>
      <w:r w:rsidRPr="005533BB">
        <w:rPr>
          <w:rFonts w:eastAsiaTheme="majorEastAsia" w:cstheme="majorBidi"/>
          <w:b/>
          <w:bCs/>
          <w:sz w:val="28"/>
          <w:szCs w:val="28"/>
        </w:rPr>
        <w:t xml:space="preserve">ssues </w:t>
      </w:r>
    </w:p>
    <w:p w:rsidR="005533BB" w:rsidRPr="005533BB" w:rsidRDefault="005533BB" w:rsidP="005533BB">
      <w:pPr>
        <w:pStyle w:val="ListParagraph"/>
        <w:autoSpaceDE w:val="0"/>
        <w:autoSpaceDN w:val="0"/>
        <w:adjustRightInd w:val="0"/>
        <w:spacing w:after="0" w:line="240" w:lineRule="auto"/>
        <w:ind w:left="420"/>
        <w:rPr>
          <w:rFonts w:eastAsiaTheme="majorEastAsia" w:cstheme="majorBidi"/>
          <w:b/>
          <w:bCs/>
          <w:sz w:val="28"/>
          <w:szCs w:val="28"/>
        </w:rPr>
      </w:pPr>
    </w:p>
    <w:p w:rsidR="005533BB" w:rsidRDefault="005533BB" w:rsidP="005533BB">
      <w:pPr>
        <w:autoSpaceDE w:val="0"/>
        <w:autoSpaceDN w:val="0"/>
        <w:adjustRightInd w:val="0"/>
        <w:spacing w:after="0" w:line="240" w:lineRule="auto"/>
        <w:rPr>
          <w:rFonts w:ascii="Calibri" w:hAnsi="Calibri" w:cs="Calibri"/>
          <w:color w:val="000000"/>
        </w:rPr>
      </w:pPr>
      <w:r>
        <w:rPr>
          <w:rFonts w:ascii="Calibri" w:hAnsi="Calibri" w:cs="Calibri"/>
          <w:color w:val="000000"/>
        </w:rPr>
        <w:t>The Academy</w:t>
      </w:r>
      <w:r w:rsidRPr="005533BB">
        <w:rPr>
          <w:rFonts w:ascii="Calibri" w:hAnsi="Calibri" w:cs="Calibri"/>
          <w:color w:val="000000"/>
        </w:rPr>
        <w:t xml:space="preserve"> offers a range of support and services (both preventative and designed to offer support) with referral to other agencies as appropriate. These include: </w:t>
      </w:r>
    </w:p>
    <w:p w:rsidR="005533BB" w:rsidRPr="005533BB" w:rsidRDefault="005533BB" w:rsidP="005533BB">
      <w:pPr>
        <w:autoSpaceDE w:val="0"/>
        <w:autoSpaceDN w:val="0"/>
        <w:adjustRightInd w:val="0"/>
        <w:spacing w:after="0" w:line="240" w:lineRule="auto"/>
        <w:rPr>
          <w:rFonts w:ascii="Calibri" w:hAnsi="Calibri" w:cs="Calibri"/>
          <w:color w:val="000000"/>
        </w:rPr>
      </w:pPr>
    </w:p>
    <w:p w:rsidR="005533BB" w:rsidRPr="005533BB" w:rsidRDefault="005533BB" w:rsidP="009F59D3">
      <w:pPr>
        <w:pStyle w:val="NoSpacing"/>
        <w:numPr>
          <w:ilvl w:val="0"/>
          <w:numId w:val="28"/>
        </w:numPr>
      </w:pPr>
      <w:r w:rsidRPr="005533BB">
        <w:t xml:space="preserve">Mentoring. </w:t>
      </w:r>
    </w:p>
    <w:p w:rsidR="005533BB" w:rsidRPr="005533BB" w:rsidRDefault="005533BB" w:rsidP="009F59D3">
      <w:pPr>
        <w:pStyle w:val="NoSpacing"/>
        <w:numPr>
          <w:ilvl w:val="0"/>
          <w:numId w:val="28"/>
        </w:numPr>
      </w:pPr>
      <w:r w:rsidRPr="005533BB">
        <w:t>Buddy mentoring</w:t>
      </w:r>
      <w:r>
        <w:t>.</w:t>
      </w:r>
      <w:r w:rsidRPr="005533BB">
        <w:t xml:space="preserve"> </w:t>
      </w:r>
    </w:p>
    <w:p w:rsidR="005533BB" w:rsidRPr="005533BB" w:rsidRDefault="005533BB" w:rsidP="009F59D3">
      <w:pPr>
        <w:pStyle w:val="NoSpacing"/>
        <w:numPr>
          <w:ilvl w:val="0"/>
          <w:numId w:val="28"/>
        </w:numPr>
      </w:pPr>
      <w:r>
        <w:t>Referral to the School N</w:t>
      </w:r>
      <w:r w:rsidRPr="005533BB">
        <w:t>urse</w:t>
      </w:r>
      <w:r>
        <w:t>.</w:t>
      </w:r>
      <w:r w:rsidRPr="005533BB">
        <w:t xml:space="preserve"> </w:t>
      </w:r>
    </w:p>
    <w:p w:rsidR="005533BB" w:rsidRPr="005533BB" w:rsidRDefault="005533BB" w:rsidP="009F59D3">
      <w:pPr>
        <w:pStyle w:val="NoSpacing"/>
        <w:numPr>
          <w:ilvl w:val="0"/>
          <w:numId w:val="28"/>
        </w:numPr>
      </w:pPr>
      <w:r w:rsidRPr="005533BB">
        <w:t xml:space="preserve">Referral to the </w:t>
      </w:r>
      <w:r>
        <w:t xml:space="preserve">in-house BACP qualified counsellor. </w:t>
      </w:r>
    </w:p>
    <w:p w:rsidR="005533BB" w:rsidRPr="005533BB" w:rsidRDefault="005533BB" w:rsidP="009F59D3">
      <w:pPr>
        <w:pStyle w:val="NoSpacing"/>
        <w:numPr>
          <w:ilvl w:val="0"/>
          <w:numId w:val="28"/>
        </w:numPr>
      </w:pPr>
      <w:r w:rsidRPr="005533BB">
        <w:t xml:space="preserve">Referral to the anger management workshops </w:t>
      </w:r>
    </w:p>
    <w:p w:rsidR="005533BB" w:rsidRPr="005533BB" w:rsidRDefault="005533BB" w:rsidP="009F59D3">
      <w:pPr>
        <w:pStyle w:val="NoSpacing"/>
        <w:numPr>
          <w:ilvl w:val="0"/>
          <w:numId w:val="28"/>
        </w:numPr>
      </w:pPr>
      <w:r w:rsidRPr="005533BB">
        <w:t xml:space="preserve">Provision of NHS-recognised self-help information </w:t>
      </w:r>
    </w:p>
    <w:p w:rsidR="005533BB" w:rsidRPr="005533BB" w:rsidRDefault="005533BB" w:rsidP="009F59D3">
      <w:pPr>
        <w:pStyle w:val="NoSpacing"/>
        <w:numPr>
          <w:ilvl w:val="0"/>
          <w:numId w:val="28"/>
        </w:numPr>
      </w:pPr>
      <w:r w:rsidRPr="005533BB">
        <w:t xml:space="preserve">School nurse drop-in clinics </w:t>
      </w:r>
    </w:p>
    <w:p w:rsidR="005533BB" w:rsidRPr="005533BB" w:rsidRDefault="005533BB" w:rsidP="009F59D3">
      <w:pPr>
        <w:pStyle w:val="NoSpacing"/>
        <w:numPr>
          <w:ilvl w:val="0"/>
          <w:numId w:val="28"/>
        </w:numPr>
      </w:pPr>
      <w:r w:rsidRPr="005533BB">
        <w:t xml:space="preserve">Education in resilience and healthy self-esteem through PSHEE and the pastoral teams </w:t>
      </w:r>
    </w:p>
    <w:p w:rsidR="005533BB" w:rsidRPr="005533BB" w:rsidRDefault="005533BB" w:rsidP="009F59D3">
      <w:pPr>
        <w:pStyle w:val="NoSpacing"/>
        <w:numPr>
          <w:ilvl w:val="0"/>
          <w:numId w:val="28"/>
        </w:numPr>
      </w:pPr>
      <w:r w:rsidRPr="005533BB">
        <w:t xml:space="preserve">Young Carers group for relevant students </w:t>
      </w:r>
    </w:p>
    <w:p w:rsidR="005533BB" w:rsidRPr="005533BB" w:rsidRDefault="005533BB" w:rsidP="009F59D3">
      <w:pPr>
        <w:pStyle w:val="NoSpacing"/>
        <w:numPr>
          <w:ilvl w:val="0"/>
          <w:numId w:val="28"/>
        </w:numPr>
      </w:pPr>
      <w:r w:rsidRPr="005533BB">
        <w:t xml:space="preserve">Supervised or separate eating areas as appropriate </w:t>
      </w:r>
    </w:p>
    <w:p w:rsidR="005533BB" w:rsidRPr="005533BB" w:rsidRDefault="005533BB" w:rsidP="009F59D3">
      <w:pPr>
        <w:pStyle w:val="NoSpacing"/>
        <w:numPr>
          <w:ilvl w:val="0"/>
          <w:numId w:val="28"/>
        </w:numPr>
      </w:pPr>
      <w:r w:rsidRPr="005533BB">
        <w:t xml:space="preserve">Inclusion of relevant issues in the Assemblies Programme.  </w:t>
      </w:r>
    </w:p>
    <w:p w:rsidR="005533BB" w:rsidRPr="005533BB" w:rsidRDefault="005533BB" w:rsidP="009F59D3">
      <w:pPr>
        <w:pStyle w:val="NoSpacing"/>
        <w:numPr>
          <w:ilvl w:val="0"/>
          <w:numId w:val="28"/>
        </w:numPr>
      </w:pPr>
      <w:r w:rsidRPr="005533BB">
        <w:t>Self-esteem groups.</w:t>
      </w:r>
    </w:p>
    <w:p w:rsidR="005533BB" w:rsidRPr="005533BB" w:rsidRDefault="005533BB" w:rsidP="009F59D3">
      <w:pPr>
        <w:pStyle w:val="NoSpacing"/>
        <w:numPr>
          <w:ilvl w:val="0"/>
          <w:numId w:val="28"/>
        </w:numPr>
      </w:pPr>
      <w:r w:rsidRPr="005533BB">
        <w:t xml:space="preserve">More specific and consistent education on positive mindset, resilience and how to choose healthy coping strategies. </w:t>
      </w:r>
    </w:p>
    <w:p w:rsidR="005533BB" w:rsidRPr="005533BB" w:rsidRDefault="005533BB" w:rsidP="009F59D3">
      <w:pPr>
        <w:pStyle w:val="NoSpacing"/>
        <w:numPr>
          <w:ilvl w:val="0"/>
          <w:numId w:val="28"/>
        </w:numPr>
      </w:pPr>
      <w:r w:rsidRPr="005533BB">
        <w:t xml:space="preserve">Information on the Academy website. </w:t>
      </w:r>
    </w:p>
    <w:p w:rsidR="005533BB" w:rsidRPr="005533BB" w:rsidRDefault="005533BB" w:rsidP="009F59D3">
      <w:pPr>
        <w:pStyle w:val="NoSpacing"/>
        <w:numPr>
          <w:ilvl w:val="0"/>
          <w:numId w:val="28"/>
        </w:numPr>
      </w:pPr>
      <w:r w:rsidRPr="005533BB">
        <w:t xml:space="preserve">Posters around Academy offering advice and where to go. </w:t>
      </w:r>
    </w:p>
    <w:p w:rsidR="005533BB" w:rsidRPr="005533BB" w:rsidRDefault="005533BB" w:rsidP="009F59D3">
      <w:pPr>
        <w:pStyle w:val="NoSpacing"/>
        <w:numPr>
          <w:ilvl w:val="0"/>
          <w:numId w:val="28"/>
        </w:numPr>
      </w:pPr>
      <w:r w:rsidRPr="005533BB">
        <w:t xml:space="preserve">Healthy coping strategy self-help cards specifically for self-harmers. </w:t>
      </w:r>
    </w:p>
    <w:p w:rsidR="005533BB" w:rsidRPr="005533BB" w:rsidRDefault="005533BB" w:rsidP="005533BB">
      <w:pPr>
        <w:autoSpaceDE w:val="0"/>
        <w:autoSpaceDN w:val="0"/>
        <w:adjustRightInd w:val="0"/>
        <w:spacing w:after="0" w:line="240" w:lineRule="auto"/>
        <w:rPr>
          <w:rFonts w:ascii="Calibri" w:hAnsi="Calibri" w:cs="Calibri"/>
          <w:color w:val="000000"/>
        </w:rPr>
      </w:pPr>
    </w:p>
    <w:p w:rsidR="005533BB" w:rsidRDefault="005533BB" w:rsidP="005533BB">
      <w:pPr>
        <w:autoSpaceDE w:val="0"/>
        <w:autoSpaceDN w:val="0"/>
        <w:adjustRightInd w:val="0"/>
        <w:spacing w:after="0" w:line="240" w:lineRule="auto"/>
        <w:rPr>
          <w:rFonts w:ascii="Calibri" w:hAnsi="Calibri" w:cs="Calibri"/>
          <w:color w:val="000000"/>
        </w:rPr>
      </w:pPr>
      <w:r w:rsidRPr="005533BB">
        <w:rPr>
          <w:rFonts w:ascii="Calibri" w:hAnsi="Calibri" w:cs="Calibri"/>
          <w:color w:val="000000"/>
        </w:rPr>
        <w:lastRenderedPageBreak/>
        <w:t>Other outside agencies that may als</w:t>
      </w:r>
      <w:r>
        <w:rPr>
          <w:rFonts w:ascii="Calibri" w:hAnsi="Calibri" w:cs="Calibri"/>
          <w:color w:val="000000"/>
        </w:rPr>
        <w:t>o be involved include the pupil</w:t>
      </w:r>
      <w:r w:rsidRPr="005533BB">
        <w:rPr>
          <w:rFonts w:ascii="Calibri" w:hAnsi="Calibri" w:cs="Calibri"/>
          <w:color w:val="000000"/>
        </w:rPr>
        <w:t xml:space="preserve">’s GP; the integrated team and CAMHS as well as independent organisations and charities such as </w:t>
      </w:r>
      <w:r w:rsidR="000B2E57">
        <w:rPr>
          <w:rFonts w:ascii="Calibri" w:hAnsi="Calibri" w:cs="Calibri"/>
          <w:color w:val="000000"/>
        </w:rPr>
        <w:t xml:space="preserve">BEAT. </w:t>
      </w:r>
    </w:p>
    <w:p w:rsidR="000B2E57" w:rsidRPr="005533BB" w:rsidRDefault="000B2E57" w:rsidP="005533BB">
      <w:pPr>
        <w:autoSpaceDE w:val="0"/>
        <w:autoSpaceDN w:val="0"/>
        <w:adjustRightInd w:val="0"/>
        <w:spacing w:after="0" w:line="240" w:lineRule="auto"/>
        <w:rPr>
          <w:rFonts w:ascii="Calibri" w:hAnsi="Calibri" w:cs="Calibri"/>
          <w:color w:val="000000"/>
        </w:rPr>
      </w:pPr>
    </w:p>
    <w:p w:rsidR="000B2E57" w:rsidRDefault="005533BB" w:rsidP="000B2E57">
      <w:pPr>
        <w:pStyle w:val="Default"/>
        <w:rPr>
          <w:rFonts w:ascii="Calibri" w:hAnsi="Calibri" w:cs="Calibri"/>
          <w:sz w:val="22"/>
          <w:szCs w:val="22"/>
        </w:rPr>
      </w:pPr>
      <w:r w:rsidRPr="000B2E57">
        <w:rPr>
          <w:rFonts w:ascii="Calibri" w:hAnsi="Calibri" w:cs="Calibri"/>
          <w:sz w:val="22"/>
          <w:szCs w:val="22"/>
        </w:rPr>
        <w:t>O</w:t>
      </w:r>
      <w:r w:rsidR="000B2E57">
        <w:rPr>
          <w:rFonts w:ascii="Calibri" w:hAnsi="Calibri" w:cs="Calibri"/>
          <w:sz w:val="22"/>
          <w:szCs w:val="22"/>
        </w:rPr>
        <w:t xml:space="preserve">n occasion support of a pupil </w:t>
      </w:r>
      <w:r w:rsidRPr="000B2E57">
        <w:rPr>
          <w:rFonts w:ascii="Calibri" w:hAnsi="Calibri" w:cs="Calibri"/>
          <w:sz w:val="22"/>
          <w:szCs w:val="22"/>
        </w:rPr>
        <w:t>with mental health issues may require an adjustment to their</w:t>
      </w:r>
      <w:r w:rsidR="000B2E57" w:rsidRPr="000B2E57">
        <w:rPr>
          <w:rFonts w:ascii="Calibri" w:hAnsi="Calibri" w:cs="Calibri"/>
          <w:sz w:val="22"/>
          <w:szCs w:val="22"/>
        </w:rPr>
        <w:t xml:space="preserve"> academic timetable. In such cases</w:t>
      </w:r>
      <w:r w:rsidR="000B2E57">
        <w:rPr>
          <w:rFonts w:ascii="Calibri" w:hAnsi="Calibri" w:cs="Calibri"/>
          <w:sz w:val="22"/>
          <w:szCs w:val="22"/>
        </w:rPr>
        <w:t>,</w:t>
      </w:r>
      <w:r w:rsidR="000B2E57" w:rsidRPr="000B2E57">
        <w:rPr>
          <w:rFonts w:ascii="Calibri" w:hAnsi="Calibri" w:cs="Calibri"/>
          <w:sz w:val="22"/>
          <w:szCs w:val="22"/>
        </w:rPr>
        <w:t xml:space="preserve"> </w:t>
      </w:r>
      <w:r w:rsidR="000B2E57">
        <w:rPr>
          <w:rFonts w:ascii="Calibri" w:hAnsi="Calibri" w:cs="Calibri"/>
          <w:sz w:val="22"/>
          <w:szCs w:val="22"/>
        </w:rPr>
        <w:t>the Academy</w:t>
      </w:r>
      <w:r w:rsidR="000B2E57" w:rsidRPr="000B2E57">
        <w:rPr>
          <w:rFonts w:ascii="Calibri" w:hAnsi="Calibri" w:cs="Calibri"/>
          <w:sz w:val="22"/>
          <w:szCs w:val="22"/>
        </w:rPr>
        <w:t xml:space="preserve"> will respond to the need of each child within the legal and school-set academic requirements that need to be met. </w:t>
      </w: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Default="007F7AFF" w:rsidP="000B2E57">
      <w:pPr>
        <w:pStyle w:val="Default"/>
        <w:rPr>
          <w:rFonts w:ascii="Calibri" w:hAnsi="Calibri" w:cs="Calibri"/>
          <w:sz w:val="22"/>
          <w:szCs w:val="22"/>
        </w:rPr>
      </w:pPr>
    </w:p>
    <w:p w:rsidR="007F7AFF" w:rsidRPr="000B2E57" w:rsidRDefault="007F7AFF" w:rsidP="000B2E57">
      <w:pPr>
        <w:pStyle w:val="Default"/>
        <w:rPr>
          <w:rFonts w:ascii="Calibri" w:hAnsi="Calibri" w:cs="Calibri"/>
          <w:sz w:val="22"/>
          <w:szCs w:val="22"/>
        </w:rPr>
      </w:pPr>
    </w:p>
    <w:p w:rsidR="00F06087" w:rsidRPr="00F06087" w:rsidRDefault="00226889" w:rsidP="00F06087">
      <w:pPr>
        <w:pStyle w:val="Heading1"/>
        <w:rPr>
          <w:rFonts w:asciiTheme="minorHAnsi" w:hAnsiTheme="minorHAnsi"/>
          <w:color w:val="auto"/>
        </w:rPr>
      </w:pPr>
      <w:bookmarkStart w:id="11" w:name="_Toc453926516"/>
      <w:r>
        <w:rPr>
          <w:rFonts w:asciiTheme="minorHAnsi" w:hAnsiTheme="minorHAnsi"/>
          <w:color w:val="auto"/>
        </w:rPr>
        <w:lastRenderedPageBreak/>
        <w:t>Appendix A</w:t>
      </w:r>
      <w:r w:rsidR="00F06087" w:rsidRPr="00F06087">
        <w:rPr>
          <w:rFonts w:asciiTheme="minorHAnsi" w:hAnsiTheme="minorHAnsi"/>
          <w:color w:val="auto"/>
        </w:rPr>
        <w:t xml:space="preserve"> – Risk and Protective Factors </w:t>
      </w:r>
      <w:r w:rsidR="005F6F98">
        <w:rPr>
          <w:rFonts w:asciiTheme="minorHAnsi" w:hAnsiTheme="minorHAnsi"/>
          <w:color w:val="auto"/>
        </w:rPr>
        <w:t>for Child and Adolescent Mental Health</w:t>
      </w:r>
      <w:bookmarkEnd w:id="11"/>
    </w:p>
    <w:p w:rsidR="00F06087" w:rsidRDefault="00F06087" w:rsidP="00F06087">
      <w:pPr>
        <w:autoSpaceDE w:val="0"/>
        <w:autoSpaceDN w:val="0"/>
        <w:adjustRightInd w:val="0"/>
        <w:spacing w:after="0" w:line="240" w:lineRule="auto"/>
        <w:rPr>
          <w:rFonts w:ascii="Calibri" w:hAnsi="Calibri" w:cs="Calibri"/>
          <w:color w:val="000000"/>
        </w:rPr>
      </w:pPr>
    </w:p>
    <w:tbl>
      <w:tblPr>
        <w:tblStyle w:val="TableGrid"/>
        <w:tblW w:w="0" w:type="auto"/>
        <w:tblInd w:w="5" w:type="dxa"/>
        <w:tblLook w:val="04A0" w:firstRow="1" w:lastRow="0" w:firstColumn="1" w:lastColumn="0" w:noHBand="0" w:noVBand="1"/>
      </w:tblPr>
      <w:tblGrid>
        <w:gridCol w:w="1980"/>
        <w:gridCol w:w="5811"/>
        <w:gridCol w:w="5812"/>
      </w:tblGrid>
      <w:tr w:rsidR="00F06087" w:rsidTr="00F06087">
        <w:tc>
          <w:tcPr>
            <w:tcW w:w="1980" w:type="dxa"/>
            <w:tcBorders>
              <w:top w:val="nil"/>
              <w:left w:val="nil"/>
            </w:tcBorders>
          </w:tcPr>
          <w:p w:rsidR="00F06087" w:rsidRDefault="00F06087" w:rsidP="00F06087">
            <w:pPr>
              <w:autoSpaceDE w:val="0"/>
              <w:autoSpaceDN w:val="0"/>
              <w:adjustRightInd w:val="0"/>
              <w:rPr>
                <w:rFonts w:ascii="Calibri" w:hAnsi="Calibri" w:cs="Calibri"/>
                <w:color w:val="000000"/>
              </w:rPr>
            </w:pPr>
          </w:p>
        </w:tc>
        <w:tc>
          <w:tcPr>
            <w:tcW w:w="5811" w:type="dxa"/>
            <w:shd w:val="clear" w:color="auto" w:fill="F2F2F2" w:themeFill="background1" w:themeFillShade="F2"/>
          </w:tcPr>
          <w:p w:rsidR="00F06087" w:rsidRPr="00F06087" w:rsidRDefault="00F06087" w:rsidP="00F06087">
            <w:pPr>
              <w:autoSpaceDE w:val="0"/>
              <w:autoSpaceDN w:val="0"/>
              <w:adjustRightInd w:val="0"/>
              <w:jc w:val="center"/>
              <w:rPr>
                <w:rFonts w:ascii="Calibri" w:hAnsi="Calibri" w:cs="Calibri"/>
                <w:b/>
                <w:color w:val="000000"/>
              </w:rPr>
            </w:pPr>
            <w:r w:rsidRPr="00F06087">
              <w:rPr>
                <w:rFonts w:ascii="Calibri" w:hAnsi="Calibri" w:cs="Calibri"/>
                <w:b/>
                <w:color w:val="000000"/>
              </w:rPr>
              <w:t>Risk</w:t>
            </w:r>
          </w:p>
        </w:tc>
        <w:tc>
          <w:tcPr>
            <w:tcW w:w="5812" w:type="dxa"/>
            <w:shd w:val="clear" w:color="auto" w:fill="F2F2F2" w:themeFill="background1" w:themeFillShade="F2"/>
          </w:tcPr>
          <w:p w:rsidR="00F06087" w:rsidRPr="00F06087" w:rsidRDefault="00F06087" w:rsidP="00F06087">
            <w:pPr>
              <w:autoSpaceDE w:val="0"/>
              <w:autoSpaceDN w:val="0"/>
              <w:adjustRightInd w:val="0"/>
              <w:jc w:val="center"/>
              <w:rPr>
                <w:rFonts w:ascii="Calibri" w:hAnsi="Calibri" w:cs="Calibri"/>
                <w:b/>
                <w:color w:val="000000"/>
              </w:rPr>
            </w:pPr>
            <w:r w:rsidRPr="00F06087">
              <w:rPr>
                <w:rFonts w:ascii="Calibri" w:hAnsi="Calibri" w:cs="Calibri"/>
                <w:b/>
                <w:color w:val="000000"/>
              </w:rPr>
              <w:t>Protective</w:t>
            </w:r>
          </w:p>
        </w:tc>
      </w:tr>
      <w:tr w:rsidR="00F06087" w:rsidRPr="00F06087" w:rsidTr="009F59D3">
        <w:tc>
          <w:tcPr>
            <w:tcW w:w="1980" w:type="dxa"/>
            <w:vAlign w:val="center"/>
          </w:tcPr>
          <w:p w:rsidR="00F06087" w:rsidRPr="005F6F98" w:rsidRDefault="00F06087" w:rsidP="009F59D3">
            <w:pPr>
              <w:autoSpaceDE w:val="0"/>
              <w:autoSpaceDN w:val="0"/>
              <w:adjustRightInd w:val="0"/>
              <w:jc w:val="center"/>
              <w:rPr>
                <w:rFonts w:ascii="Calibri" w:hAnsi="Calibri" w:cs="Calibri"/>
                <w:color w:val="000000"/>
                <w:sz w:val="18"/>
                <w:szCs w:val="18"/>
              </w:rPr>
            </w:pPr>
            <w:r w:rsidRPr="005F6F98">
              <w:rPr>
                <w:rFonts w:ascii="Calibri" w:hAnsi="Calibri" w:cs="Calibri"/>
                <w:color w:val="000000"/>
                <w:sz w:val="18"/>
                <w:szCs w:val="18"/>
              </w:rPr>
              <w:t>In the child</w:t>
            </w:r>
          </w:p>
        </w:tc>
        <w:tc>
          <w:tcPr>
            <w:tcW w:w="5811" w:type="dxa"/>
          </w:tcPr>
          <w:p w:rsidR="00F06087" w:rsidRPr="005F6F98" w:rsidRDefault="00F06087" w:rsidP="00F06087">
            <w:pPr>
              <w:pStyle w:val="NoSpacing"/>
              <w:rPr>
                <w:sz w:val="18"/>
                <w:szCs w:val="18"/>
              </w:rPr>
            </w:pPr>
            <w:r w:rsidRPr="005F6F98">
              <w:rPr>
                <w:sz w:val="18"/>
                <w:szCs w:val="18"/>
              </w:rPr>
              <w:t xml:space="preserve">Genetic influences </w:t>
            </w:r>
          </w:p>
          <w:p w:rsidR="00F06087" w:rsidRPr="005F6F98" w:rsidRDefault="00F06087" w:rsidP="00F06087">
            <w:pPr>
              <w:pStyle w:val="NoSpacing"/>
              <w:rPr>
                <w:sz w:val="18"/>
                <w:szCs w:val="18"/>
              </w:rPr>
            </w:pPr>
            <w:r w:rsidRPr="005F6F98">
              <w:rPr>
                <w:sz w:val="18"/>
                <w:szCs w:val="18"/>
              </w:rPr>
              <w:t xml:space="preserve">Low IQ and learning disabilities </w:t>
            </w:r>
          </w:p>
          <w:p w:rsidR="00F06087" w:rsidRPr="005F6F98" w:rsidRDefault="00F06087" w:rsidP="00F06087">
            <w:pPr>
              <w:pStyle w:val="NoSpacing"/>
              <w:rPr>
                <w:sz w:val="18"/>
                <w:szCs w:val="18"/>
              </w:rPr>
            </w:pPr>
            <w:r w:rsidRPr="005F6F98">
              <w:rPr>
                <w:sz w:val="18"/>
                <w:szCs w:val="18"/>
              </w:rPr>
              <w:t xml:space="preserve">Specific development delay or neuro-diversity </w:t>
            </w:r>
          </w:p>
          <w:p w:rsidR="00F06087" w:rsidRPr="005F6F98" w:rsidRDefault="00F06087" w:rsidP="00F06087">
            <w:pPr>
              <w:pStyle w:val="NoSpacing"/>
              <w:rPr>
                <w:sz w:val="18"/>
                <w:szCs w:val="18"/>
              </w:rPr>
            </w:pPr>
            <w:r w:rsidRPr="005F6F98">
              <w:rPr>
                <w:sz w:val="18"/>
                <w:szCs w:val="18"/>
              </w:rPr>
              <w:t xml:space="preserve">Communication difficulties </w:t>
            </w:r>
          </w:p>
          <w:p w:rsidR="00F06087" w:rsidRPr="005F6F98" w:rsidRDefault="00F06087" w:rsidP="00F06087">
            <w:pPr>
              <w:pStyle w:val="NoSpacing"/>
              <w:rPr>
                <w:sz w:val="18"/>
                <w:szCs w:val="18"/>
              </w:rPr>
            </w:pPr>
            <w:r w:rsidRPr="005F6F98">
              <w:rPr>
                <w:sz w:val="18"/>
                <w:szCs w:val="18"/>
              </w:rPr>
              <w:t xml:space="preserve">Difficult temperament </w:t>
            </w:r>
          </w:p>
          <w:p w:rsidR="00F06087" w:rsidRPr="005F6F98" w:rsidRDefault="00F06087" w:rsidP="00F06087">
            <w:pPr>
              <w:pStyle w:val="NoSpacing"/>
              <w:rPr>
                <w:sz w:val="18"/>
                <w:szCs w:val="18"/>
              </w:rPr>
            </w:pPr>
            <w:r w:rsidRPr="005F6F98">
              <w:rPr>
                <w:sz w:val="18"/>
                <w:szCs w:val="18"/>
              </w:rPr>
              <w:t xml:space="preserve">Physical illness </w:t>
            </w:r>
          </w:p>
          <w:p w:rsidR="00F06087" w:rsidRPr="005F6F98" w:rsidRDefault="00F06087" w:rsidP="00F06087">
            <w:pPr>
              <w:pStyle w:val="NoSpacing"/>
              <w:rPr>
                <w:sz w:val="18"/>
                <w:szCs w:val="18"/>
              </w:rPr>
            </w:pPr>
            <w:r w:rsidRPr="005F6F98">
              <w:rPr>
                <w:sz w:val="18"/>
                <w:szCs w:val="18"/>
              </w:rPr>
              <w:t xml:space="preserve">Academic failure </w:t>
            </w:r>
          </w:p>
          <w:p w:rsidR="00F06087" w:rsidRPr="005F6F98" w:rsidRDefault="00F06087" w:rsidP="00F06087">
            <w:pPr>
              <w:pStyle w:val="NoSpacing"/>
              <w:rPr>
                <w:sz w:val="18"/>
                <w:szCs w:val="18"/>
              </w:rPr>
            </w:pPr>
            <w:r w:rsidRPr="005F6F98">
              <w:rPr>
                <w:sz w:val="18"/>
                <w:szCs w:val="18"/>
              </w:rPr>
              <w:t xml:space="preserve">Low self-esteem </w:t>
            </w:r>
          </w:p>
        </w:tc>
        <w:tc>
          <w:tcPr>
            <w:tcW w:w="5812" w:type="dxa"/>
          </w:tcPr>
          <w:p w:rsidR="00F06087" w:rsidRPr="005F6F98" w:rsidRDefault="00F06087" w:rsidP="00F06087">
            <w:pPr>
              <w:pStyle w:val="NoSpacing"/>
              <w:rPr>
                <w:sz w:val="18"/>
                <w:szCs w:val="18"/>
              </w:rPr>
            </w:pPr>
            <w:r w:rsidRPr="005F6F98">
              <w:rPr>
                <w:sz w:val="18"/>
                <w:szCs w:val="18"/>
              </w:rPr>
              <w:t xml:space="preserve">Being female (in younger children) </w:t>
            </w:r>
          </w:p>
          <w:p w:rsidR="00F06087" w:rsidRPr="005F6F98" w:rsidRDefault="00F06087" w:rsidP="00F06087">
            <w:pPr>
              <w:pStyle w:val="NoSpacing"/>
              <w:rPr>
                <w:sz w:val="18"/>
                <w:szCs w:val="18"/>
              </w:rPr>
            </w:pPr>
            <w:r w:rsidRPr="005F6F98">
              <w:rPr>
                <w:sz w:val="18"/>
                <w:szCs w:val="18"/>
              </w:rPr>
              <w:t xml:space="preserve">Secure attachment experience </w:t>
            </w:r>
          </w:p>
          <w:p w:rsidR="00F06087" w:rsidRPr="005F6F98" w:rsidRDefault="00F06087" w:rsidP="00F06087">
            <w:pPr>
              <w:pStyle w:val="NoSpacing"/>
              <w:rPr>
                <w:sz w:val="18"/>
                <w:szCs w:val="18"/>
              </w:rPr>
            </w:pPr>
            <w:r w:rsidRPr="005F6F98">
              <w:rPr>
                <w:sz w:val="18"/>
                <w:szCs w:val="18"/>
              </w:rPr>
              <w:t xml:space="preserve">Outgoing temperament as an infant </w:t>
            </w:r>
          </w:p>
          <w:p w:rsidR="00F06087" w:rsidRPr="005F6F98" w:rsidRDefault="00F06087" w:rsidP="00F06087">
            <w:pPr>
              <w:pStyle w:val="NoSpacing"/>
              <w:rPr>
                <w:sz w:val="18"/>
                <w:szCs w:val="18"/>
              </w:rPr>
            </w:pPr>
            <w:r w:rsidRPr="005F6F98">
              <w:rPr>
                <w:sz w:val="18"/>
                <w:szCs w:val="18"/>
              </w:rPr>
              <w:t xml:space="preserve">Good communication skills, sociability </w:t>
            </w:r>
          </w:p>
          <w:p w:rsidR="00F06087" w:rsidRPr="005F6F98" w:rsidRDefault="00F06087" w:rsidP="00F06087">
            <w:pPr>
              <w:pStyle w:val="NoSpacing"/>
              <w:rPr>
                <w:sz w:val="18"/>
                <w:szCs w:val="18"/>
              </w:rPr>
            </w:pPr>
            <w:r w:rsidRPr="005F6F98">
              <w:rPr>
                <w:sz w:val="18"/>
                <w:szCs w:val="18"/>
              </w:rPr>
              <w:t xml:space="preserve">Being a planner and having a belief in control </w:t>
            </w:r>
          </w:p>
          <w:p w:rsidR="00F06087" w:rsidRPr="005F6F98" w:rsidRDefault="00F06087" w:rsidP="00F06087">
            <w:pPr>
              <w:pStyle w:val="NoSpacing"/>
              <w:rPr>
                <w:sz w:val="18"/>
                <w:szCs w:val="18"/>
              </w:rPr>
            </w:pPr>
            <w:r w:rsidRPr="005F6F98">
              <w:rPr>
                <w:sz w:val="18"/>
                <w:szCs w:val="18"/>
              </w:rPr>
              <w:t xml:space="preserve">Humour </w:t>
            </w:r>
          </w:p>
          <w:p w:rsidR="00F06087" w:rsidRPr="005F6F98" w:rsidRDefault="00F06087" w:rsidP="00F06087">
            <w:pPr>
              <w:pStyle w:val="NoSpacing"/>
              <w:rPr>
                <w:sz w:val="18"/>
                <w:szCs w:val="18"/>
              </w:rPr>
            </w:pPr>
            <w:r w:rsidRPr="005F6F98">
              <w:rPr>
                <w:sz w:val="18"/>
                <w:szCs w:val="18"/>
              </w:rPr>
              <w:t xml:space="preserve">Problem solving skills and a positive attitude </w:t>
            </w:r>
          </w:p>
          <w:p w:rsidR="00F06087" w:rsidRPr="005F6F98" w:rsidRDefault="00F06087" w:rsidP="00F06087">
            <w:pPr>
              <w:pStyle w:val="NoSpacing"/>
              <w:rPr>
                <w:sz w:val="18"/>
                <w:szCs w:val="18"/>
              </w:rPr>
            </w:pPr>
            <w:r w:rsidRPr="005F6F98">
              <w:rPr>
                <w:sz w:val="18"/>
                <w:szCs w:val="18"/>
              </w:rPr>
              <w:t xml:space="preserve">Experiences of success and achievement </w:t>
            </w:r>
          </w:p>
          <w:p w:rsidR="00F06087" w:rsidRPr="005F6F98" w:rsidRDefault="00F06087" w:rsidP="00F06087">
            <w:pPr>
              <w:pStyle w:val="NoSpacing"/>
              <w:rPr>
                <w:sz w:val="18"/>
                <w:szCs w:val="18"/>
              </w:rPr>
            </w:pPr>
            <w:r w:rsidRPr="005F6F98">
              <w:rPr>
                <w:sz w:val="18"/>
                <w:szCs w:val="18"/>
              </w:rPr>
              <w:t xml:space="preserve">Faith or spirituality </w:t>
            </w:r>
          </w:p>
          <w:p w:rsidR="00F06087" w:rsidRPr="005F6F98" w:rsidRDefault="00F06087" w:rsidP="00F06087">
            <w:pPr>
              <w:pStyle w:val="NoSpacing"/>
              <w:rPr>
                <w:sz w:val="18"/>
                <w:szCs w:val="18"/>
              </w:rPr>
            </w:pPr>
            <w:r w:rsidRPr="005F6F98">
              <w:rPr>
                <w:sz w:val="18"/>
                <w:szCs w:val="18"/>
              </w:rPr>
              <w:t xml:space="preserve">Capacity to reflect </w:t>
            </w:r>
          </w:p>
          <w:p w:rsidR="00F06087" w:rsidRPr="005F6F98" w:rsidRDefault="00F06087" w:rsidP="00F06087">
            <w:pPr>
              <w:pStyle w:val="NoSpacing"/>
              <w:rPr>
                <w:sz w:val="18"/>
                <w:szCs w:val="18"/>
              </w:rPr>
            </w:pPr>
            <w:r w:rsidRPr="005F6F98">
              <w:rPr>
                <w:sz w:val="18"/>
                <w:szCs w:val="18"/>
              </w:rPr>
              <w:t xml:space="preserve">Range of clubs to support engagement in physical activity </w:t>
            </w:r>
          </w:p>
        </w:tc>
      </w:tr>
      <w:tr w:rsidR="00F06087" w:rsidTr="009F59D3">
        <w:tc>
          <w:tcPr>
            <w:tcW w:w="1980" w:type="dxa"/>
            <w:vAlign w:val="center"/>
          </w:tcPr>
          <w:p w:rsidR="00F06087" w:rsidRPr="005F6F98" w:rsidRDefault="00F06087" w:rsidP="009F59D3">
            <w:pPr>
              <w:autoSpaceDE w:val="0"/>
              <w:autoSpaceDN w:val="0"/>
              <w:adjustRightInd w:val="0"/>
              <w:jc w:val="center"/>
              <w:rPr>
                <w:rFonts w:ascii="Calibri" w:hAnsi="Calibri" w:cs="Calibri"/>
                <w:color w:val="000000"/>
                <w:sz w:val="18"/>
                <w:szCs w:val="18"/>
              </w:rPr>
            </w:pPr>
            <w:r w:rsidRPr="005F6F98">
              <w:rPr>
                <w:rFonts w:ascii="Calibri" w:hAnsi="Calibri" w:cs="Calibri"/>
                <w:color w:val="000000"/>
                <w:sz w:val="18"/>
                <w:szCs w:val="18"/>
              </w:rPr>
              <w:t>In the family</w:t>
            </w:r>
          </w:p>
        </w:tc>
        <w:tc>
          <w:tcPr>
            <w:tcW w:w="5811" w:type="dxa"/>
          </w:tcPr>
          <w:p w:rsidR="00F06087" w:rsidRPr="005F6F98" w:rsidRDefault="00F06087" w:rsidP="00F06087">
            <w:pPr>
              <w:pStyle w:val="NoSpacing"/>
              <w:rPr>
                <w:sz w:val="18"/>
                <w:szCs w:val="18"/>
              </w:rPr>
            </w:pPr>
            <w:r w:rsidRPr="005F6F98">
              <w:rPr>
                <w:sz w:val="18"/>
                <w:szCs w:val="18"/>
              </w:rPr>
              <w:t xml:space="preserve">Overt parental conflict including Domestic Violence </w:t>
            </w:r>
          </w:p>
          <w:p w:rsidR="00F06087" w:rsidRPr="005F6F98" w:rsidRDefault="00F06087" w:rsidP="00F06087">
            <w:pPr>
              <w:pStyle w:val="NoSpacing"/>
              <w:rPr>
                <w:sz w:val="18"/>
                <w:szCs w:val="18"/>
              </w:rPr>
            </w:pPr>
            <w:r w:rsidRPr="005F6F98">
              <w:rPr>
                <w:sz w:val="18"/>
                <w:szCs w:val="18"/>
              </w:rPr>
              <w:t xml:space="preserve">Family breakdown (including where children are taken into care or adopted) </w:t>
            </w:r>
          </w:p>
          <w:p w:rsidR="00F06087" w:rsidRPr="005F6F98" w:rsidRDefault="00F06087" w:rsidP="00F06087">
            <w:pPr>
              <w:pStyle w:val="NoSpacing"/>
              <w:rPr>
                <w:sz w:val="18"/>
                <w:szCs w:val="18"/>
              </w:rPr>
            </w:pPr>
            <w:r w:rsidRPr="005F6F98">
              <w:rPr>
                <w:sz w:val="18"/>
                <w:szCs w:val="18"/>
              </w:rPr>
              <w:t xml:space="preserve">Inconsistent or unclear discipline </w:t>
            </w:r>
          </w:p>
          <w:p w:rsidR="00F06087" w:rsidRPr="005F6F98" w:rsidRDefault="00F06087" w:rsidP="00F06087">
            <w:pPr>
              <w:pStyle w:val="NoSpacing"/>
              <w:rPr>
                <w:sz w:val="18"/>
                <w:szCs w:val="18"/>
              </w:rPr>
            </w:pPr>
            <w:r w:rsidRPr="005F6F98">
              <w:rPr>
                <w:sz w:val="18"/>
                <w:szCs w:val="18"/>
              </w:rPr>
              <w:t xml:space="preserve">Hostile or rejecting relationships </w:t>
            </w:r>
          </w:p>
          <w:p w:rsidR="00F06087" w:rsidRPr="005F6F98" w:rsidRDefault="00F06087" w:rsidP="00F06087">
            <w:pPr>
              <w:pStyle w:val="NoSpacing"/>
              <w:rPr>
                <w:sz w:val="18"/>
                <w:szCs w:val="18"/>
              </w:rPr>
            </w:pPr>
            <w:r w:rsidRPr="005F6F98">
              <w:rPr>
                <w:sz w:val="18"/>
                <w:szCs w:val="18"/>
              </w:rPr>
              <w:t xml:space="preserve">Failure to adapt to a child’s changing needs </w:t>
            </w:r>
          </w:p>
          <w:p w:rsidR="00F06087" w:rsidRPr="005F6F98" w:rsidRDefault="00F06087" w:rsidP="00F06087">
            <w:pPr>
              <w:pStyle w:val="NoSpacing"/>
              <w:rPr>
                <w:sz w:val="18"/>
                <w:szCs w:val="18"/>
              </w:rPr>
            </w:pPr>
            <w:r w:rsidRPr="005F6F98">
              <w:rPr>
                <w:sz w:val="18"/>
                <w:szCs w:val="18"/>
              </w:rPr>
              <w:t xml:space="preserve">Physical, sexual or emotional abuse </w:t>
            </w:r>
          </w:p>
          <w:p w:rsidR="00F06087" w:rsidRPr="005F6F98" w:rsidRDefault="00F06087" w:rsidP="00F06087">
            <w:pPr>
              <w:pStyle w:val="NoSpacing"/>
              <w:rPr>
                <w:sz w:val="18"/>
                <w:szCs w:val="18"/>
              </w:rPr>
            </w:pPr>
            <w:r w:rsidRPr="005F6F98">
              <w:rPr>
                <w:sz w:val="18"/>
                <w:szCs w:val="18"/>
              </w:rPr>
              <w:t xml:space="preserve">Parental psychiatric illness </w:t>
            </w:r>
          </w:p>
          <w:p w:rsidR="00F06087" w:rsidRPr="005F6F98" w:rsidRDefault="00F06087" w:rsidP="00F06087">
            <w:pPr>
              <w:pStyle w:val="NoSpacing"/>
              <w:rPr>
                <w:sz w:val="18"/>
                <w:szCs w:val="18"/>
              </w:rPr>
            </w:pPr>
            <w:r w:rsidRPr="005F6F98">
              <w:rPr>
                <w:sz w:val="18"/>
                <w:szCs w:val="18"/>
              </w:rPr>
              <w:t xml:space="preserve">Parental criminality, alcoholism or personality disorder </w:t>
            </w:r>
          </w:p>
          <w:p w:rsidR="00F06087" w:rsidRPr="005F6F98" w:rsidRDefault="00F06087" w:rsidP="00F06087">
            <w:pPr>
              <w:pStyle w:val="NoSpacing"/>
              <w:rPr>
                <w:sz w:val="18"/>
                <w:szCs w:val="18"/>
              </w:rPr>
            </w:pPr>
            <w:r w:rsidRPr="005F6F98">
              <w:rPr>
                <w:sz w:val="18"/>
                <w:szCs w:val="18"/>
              </w:rPr>
              <w:t xml:space="preserve">Death and loss – including loss of friendship </w:t>
            </w:r>
          </w:p>
        </w:tc>
        <w:tc>
          <w:tcPr>
            <w:tcW w:w="5812" w:type="dxa"/>
          </w:tcPr>
          <w:p w:rsidR="00F06087" w:rsidRPr="005F6F98" w:rsidRDefault="00F06087" w:rsidP="00F06087">
            <w:pPr>
              <w:pStyle w:val="NoSpacing"/>
              <w:rPr>
                <w:sz w:val="18"/>
                <w:szCs w:val="18"/>
              </w:rPr>
            </w:pPr>
            <w:r w:rsidRPr="005F6F98">
              <w:rPr>
                <w:sz w:val="18"/>
                <w:szCs w:val="18"/>
              </w:rPr>
              <w:t xml:space="preserve">At least one good parent-child relationship (or one supportive adult) </w:t>
            </w:r>
          </w:p>
          <w:p w:rsidR="00F06087" w:rsidRPr="005F6F98" w:rsidRDefault="00F06087" w:rsidP="00F06087">
            <w:pPr>
              <w:pStyle w:val="NoSpacing"/>
              <w:rPr>
                <w:sz w:val="18"/>
                <w:szCs w:val="18"/>
              </w:rPr>
            </w:pPr>
            <w:r w:rsidRPr="005F6F98">
              <w:rPr>
                <w:sz w:val="18"/>
                <w:szCs w:val="18"/>
              </w:rPr>
              <w:t xml:space="preserve">Affection </w:t>
            </w:r>
          </w:p>
          <w:p w:rsidR="00F06087" w:rsidRPr="005F6F98" w:rsidRDefault="00F06087" w:rsidP="00F06087">
            <w:pPr>
              <w:pStyle w:val="NoSpacing"/>
              <w:rPr>
                <w:sz w:val="18"/>
                <w:szCs w:val="18"/>
              </w:rPr>
            </w:pPr>
            <w:r w:rsidRPr="005F6F98">
              <w:rPr>
                <w:sz w:val="18"/>
                <w:szCs w:val="18"/>
              </w:rPr>
              <w:t xml:space="preserve">Clear, consistent discipline </w:t>
            </w:r>
          </w:p>
          <w:p w:rsidR="00F06087" w:rsidRPr="005F6F98" w:rsidRDefault="00F06087" w:rsidP="00F06087">
            <w:pPr>
              <w:pStyle w:val="NoSpacing"/>
              <w:rPr>
                <w:sz w:val="18"/>
                <w:szCs w:val="18"/>
              </w:rPr>
            </w:pPr>
            <w:r w:rsidRPr="005F6F98">
              <w:rPr>
                <w:sz w:val="18"/>
                <w:szCs w:val="18"/>
              </w:rPr>
              <w:t xml:space="preserve">Support for education </w:t>
            </w:r>
          </w:p>
          <w:p w:rsidR="00F06087" w:rsidRPr="005F6F98" w:rsidRDefault="00F06087" w:rsidP="00F06087">
            <w:pPr>
              <w:pStyle w:val="NoSpacing"/>
              <w:rPr>
                <w:sz w:val="18"/>
                <w:szCs w:val="18"/>
              </w:rPr>
            </w:pPr>
            <w:r w:rsidRPr="005F6F98">
              <w:rPr>
                <w:sz w:val="18"/>
                <w:szCs w:val="18"/>
              </w:rPr>
              <w:t xml:space="preserve">Supportive long term relationship or the absence of severe discord </w:t>
            </w:r>
          </w:p>
          <w:p w:rsidR="00F06087" w:rsidRPr="005F6F98" w:rsidRDefault="00F06087" w:rsidP="00F06087">
            <w:pPr>
              <w:pStyle w:val="NoSpacing"/>
              <w:rPr>
                <w:sz w:val="18"/>
                <w:szCs w:val="18"/>
              </w:rPr>
            </w:pPr>
          </w:p>
        </w:tc>
      </w:tr>
      <w:tr w:rsidR="005F6F98" w:rsidTr="009F59D3">
        <w:tc>
          <w:tcPr>
            <w:tcW w:w="1980" w:type="dxa"/>
            <w:vAlign w:val="center"/>
          </w:tcPr>
          <w:p w:rsidR="005F6F98" w:rsidRPr="005F6F98" w:rsidRDefault="005F6F98" w:rsidP="009F59D3">
            <w:pPr>
              <w:autoSpaceDE w:val="0"/>
              <w:autoSpaceDN w:val="0"/>
              <w:adjustRightInd w:val="0"/>
              <w:jc w:val="center"/>
              <w:rPr>
                <w:rFonts w:ascii="Calibri" w:hAnsi="Calibri" w:cs="Calibri"/>
                <w:color w:val="000000"/>
                <w:sz w:val="18"/>
                <w:szCs w:val="18"/>
              </w:rPr>
            </w:pPr>
            <w:r w:rsidRPr="005F6F98">
              <w:rPr>
                <w:rFonts w:ascii="Calibri" w:hAnsi="Calibri" w:cs="Calibri"/>
                <w:color w:val="000000"/>
                <w:sz w:val="18"/>
                <w:szCs w:val="18"/>
              </w:rPr>
              <w:t>In the school</w:t>
            </w:r>
          </w:p>
        </w:tc>
        <w:tc>
          <w:tcPr>
            <w:tcW w:w="5811" w:type="dxa"/>
          </w:tcPr>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Bullying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Discrimination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Breakdown in or lack of positive friendships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Deviant peer influences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Peer pressure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Poor pupil to teacher relationships </w:t>
            </w:r>
          </w:p>
        </w:tc>
        <w:tc>
          <w:tcPr>
            <w:tcW w:w="5812" w:type="dxa"/>
          </w:tcPr>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Clear policies on behaviour and bullying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Open-door’ policy for children to raise problems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A whole-school approach to promoting good mental health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Positive classroom management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A sense of belonging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Positive peer influences </w:t>
            </w:r>
          </w:p>
        </w:tc>
      </w:tr>
      <w:tr w:rsidR="005F6F98" w:rsidRPr="005F6F98" w:rsidTr="009F59D3">
        <w:tc>
          <w:tcPr>
            <w:tcW w:w="1980" w:type="dxa"/>
            <w:vAlign w:val="center"/>
          </w:tcPr>
          <w:p w:rsidR="005F6F98" w:rsidRPr="005F6F98" w:rsidRDefault="005F6F98" w:rsidP="009F59D3">
            <w:pPr>
              <w:autoSpaceDE w:val="0"/>
              <w:autoSpaceDN w:val="0"/>
              <w:adjustRightInd w:val="0"/>
              <w:jc w:val="center"/>
              <w:rPr>
                <w:rFonts w:ascii="Calibri" w:hAnsi="Calibri" w:cs="Calibri"/>
                <w:color w:val="000000"/>
                <w:sz w:val="18"/>
                <w:szCs w:val="18"/>
              </w:rPr>
            </w:pPr>
            <w:r w:rsidRPr="005F6F98">
              <w:rPr>
                <w:rFonts w:ascii="Calibri" w:hAnsi="Calibri" w:cs="Calibri"/>
                <w:color w:val="000000"/>
                <w:sz w:val="18"/>
                <w:szCs w:val="18"/>
              </w:rPr>
              <w:t>In the community</w:t>
            </w:r>
          </w:p>
        </w:tc>
        <w:tc>
          <w:tcPr>
            <w:tcW w:w="5811" w:type="dxa"/>
          </w:tcPr>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Socio-economic disadvantage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Homelessness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Disaster, accidents, war or other overwhelming events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Discrimination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Other significant life events </w:t>
            </w:r>
          </w:p>
          <w:p w:rsidR="005F6F98" w:rsidRPr="005F6F98" w:rsidRDefault="005F6F98" w:rsidP="005F6F98">
            <w:pPr>
              <w:pStyle w:val="Default"/>
              <w:rPr>
                <w:rFonts w:asciiTheme="minorHAnsi" w:hAnsiTheme="minorHAnsi" w:cstheme="minorBidi"/>
                <w:color w:val="auto"/>
                <w:sz w:val="18"/>
                <w:szCs w:val="18"/>
              </w:rPr>
            </w:pPr>
          </w:p>
        </w:tc>
        <w:tc>
          <w:tcPr>
            <w:tcW w:w="5812" w:type="dxa"/>
          </w:tcPr>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Wider supportive network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Good housing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High standard of living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High morale school with positive policies for behaviour, attitudes and anti-bullying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Opportunities for valued social roles </w:t>
            </w:r>
          </w:p>
          <w:p w:rsidR="005F6F98" w:rsidRPr="005F6F98" w:rsidRDefault="005F6F98" w:rsidP="005F6F98">
            <w:pPr>
              <w:pStyle w:val="Default"/>
              <w:rPr>
                <w:rFonts w:asciiTheme="minorHAnsi" w:hAnsiTheme="minorHAnsi" w:cstheme="minorBidi"/>
                <w:color w:val="auto"/>
                <w:sz w:val="18"/>
                <w:szCs w:val="18"/>
              </w:rPr>
            </w:pPr>
            <w:r w:rsidRPr="005F6F98">
              <w:rPr>
                <w:rFonts w:asciiTheme="minorHAnsi" w:hAnsiTheme="minorHAnsi" w:cstheme="minorBidi"/>
                <w:color w:val="auto"/>
                <w:sz w:val="18"/>
                <w:szCs w:val="18"/>
              </w:rPr>
              <w:t xml:space="preserve">Range of sport/leisure activities </w:t>
            </w:r>
          </w:p>
        </w:tc>
      </w:tr>
    </w:tbl>
    <w:p w:rsidR="00F06087" w:rsidRPr="00F06087" w:rsidRDefault="00F06087" w:rsidP="00F06087">
      <w:pPr>
        <w:autoSpaceDE w:val="0"/>
        <w:autoSpaceDN w:val="0"/>
        <w:adjustRightInd w:val="0"/>
        <w:spacing w:after="0" w:line="240" w:lineRule="auto"/>
        <w:rPr>
          <w:rFonts w:ascii="Calibri" w:hAnsi="Calibri" w:cs="Calibri"/>
          <w:color w:val="000000"/>
        </w:rPr>
      </w:pPr>
    </w:p>
    <w:sectPr w:rsidR="00F06087" w:rsidRPr="00F06087">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00" w:rsidRDefault="00A03E00">
      <w:pPr>
        <w:spacing w:after="0" w:line="240" w:lineRule="auto"/>
      </w:pPr>
      <w:r>
        <w:separator/>
      </w:r>
    </w:p>
  </w:endnote>
  <w:endnote w:type="continuationSeparator" w:id="0">
    <w:p w:rsidR="00A03E00" w:rsidRDefault="00A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2189"/>
      <w:docPartObj>
        <w:docPartGallery w:val="Page Numbers (Bottom of Page)"/>
        <w:docPartUnique/>
      </w:docPartObj>
    </w:sdtPr>
    <w:sdtEndPr/>
    <w:sdtContent>
      <w:p w:rsidR="00A03E00" w:rsidRDefault="00A03E00">
        <w:pPr>
          <w:pStyle w:val="Footer"/>
          <w:jc w:val="center"/>
        </w:pPr>
        <w:r>
          <w:fldChar w:fldCharType="begin"/>
        </w:r>
        <w:r>
          <w:instrText xml:space="preserve"> PAGE   \* MERGEFORMAT </w:instrText>
        </w:r>
        <w:r>
          <w:fldChar w:fldCharType="separate"/>
        </w:r>
        <w:r w:rsidR="000624AA">
          <w:rPr>
            <w:noProof/>
          </w:rPr>
          <w:t>9</w:t>
        </w:r>
        <w:r>
          <w:rPr>
            <w:noProof/>
          </w:rPr>
          <w:fldChar w:fldCharType="end"/>
        </w:r>
      </w:p>
    </w:sdtContent>
  </w:sdt>
  <w:p w:rsidR="00A03E00" w:rsidRDefault="00A0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00" w:rsidRDefault="00A03E00">
      <w:pPr>
        <w:spacing w:after="0" w:line="240" w:lineRule="auto"/>
      </w:pPr>
      <w:r>
        <w:separator/>
      </w:r>
    </w:p>
  </w:footnote>
  <w:footnote w:type="continuationSeparator" w:id="0">
    <w:p w:rsidR="00A03E00" w:rsidRDefault="00A03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3in" o:bullet="t"/>
    </w:pict>
  </w:numPicBullet>
  <w:numPicBullet w:numPicBulletId="1">
    <w:pict>
      <v:shape id="_x0000_i1121" type="#_x0000_t75" style="width:3in;height:3in" o:bullet="t"/>
    </w:pict>
  </w:numPicBullet>
  <w:numPicBullet w:numPicBulletId="2">
    <w:pict>
      <v:shape id="_x0000_i1122" type="#_x0000_t75" style="width:3in;height:3in" o:bullet="t"/>
    </w:pict>
  </w:numPicBullet>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1161C"/>
    <w:multiLevelType w:val="hybridMultilevel"/>
    <w:tmpl w:val="AB3206C2"/>
    <w:lvl w:ilvl="0" w:tplc="95E05CF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41A8"/>
    <w:multiLevelType w:val="hybridMultilevel"/>
    <w:tmpl w:val="299C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00237"/>
    <w:multiLevelType w:val="hybridMultilevel"/>
    <w:tmpl w:val="396A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E4322"/>
    <w:multiLevelType w:val="hybridMultilevel"/>
    <w:tmpl w:val="681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43A97"/>
    <w:multiLevelType w:val="hybridMultilevel"/>
    <w:tmpl w:val="E180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529A3"/>
    <w:multiLevelType w:val="multilevel"/>
    <w:tmpl w:val="03F2BC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31CDB"/>
    <w:multiLevelType w:val="multilevel"/>
    <w:tmpl w:val="60BEC9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71405"/>
    <w:multiLevelType w:val="hybridMultilevel"/>
    <w:tmpl w:val="947CC852"/>
    <w:lvl w:ilvl="0" w:tplc="AA6A50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91036"/>
    <w:multiLevelType w:val="multilevel"/>
    <w:tmpl w:val="17E06C8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F33105F"/>
    <w:multiLevelType w:val="hybridMultilevel"/>
    <w:tmpl w:val="A0F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1714C"/>
    <w:multiLevelType w:val="hybridMultilevel"/>
    <w:tmpl w:val="9D6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C59D7"/>
    <w:multiLevelType w:val="hybridMultilevel"/>
    <w:tmpl w:val="8EBA00F8"/>
    <w:lvl w:ilvl="0" w:tplc="A48646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F5DA5"/>
    <w:multiLevelType w:val="hybridMultilevel"/>
    <w:tmpl w:val="BB3A3EA8"/>
    <w:lvl w:ilvl="0" w:tplc="FE2CA85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5537DDB"/>
    <w:multiLevelType w:val="hybridMultilevel"/>
    <w:tmpl w:val="3FFC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063A0"/>
    <w:multiLevelType w:val="hybridMultilevel"/>
    <w:tmpl w:val="6AACCE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31D9B"/>
    <w:multiLevelType w:val="hybridMultilevel"/>
    <w:tmpl w:val="E6F0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93470"/>
    <w:multiLevelType w:val="hybridMultilevel"/>
    <w:tmpl w:val="DF66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16C8D"/>
    <w:multiLevelType w:val="multilevel"/>
    <w:tmpl w:val="5FF22C50"/>
    <w:lvl w:ilvl="0">
      <w:start w:val="1"/>
      <w:numFmt w:val="decimal"/>
      <w:lvlText w:val="%1.0"/>
      <w:lvlJc w:val="left"/>
      <w:pPr>
        <w:ind w:left="375" w:hanging="375"/>
      </w:pPr>
      <w:rPr>
        <w:rFonts w:eastAsiaTheme="minorEastAsia" w:hint="default"/>
      </w:rPr>
    </w:lvl>
    <w:lvl w:ilvl="1">
      <w:start w:val="1"/>
      <w:numFmt w:val="decimal"/>
      <w:lvlText w:val="%1.%2"/>
      <w:lvlJc w:val="left"/>
      <w:pPr>
        <w:ind w:left="1095" w:hanging="375"/>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20" w15:restartNumberingAfterBreak="0">
    <w:nsid w:val="61F41993"/>
    <w:multiLevelType w:val="hybridMultilevel"/>
    <w:tmpl w:val="8B20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C4FBE"/>
    <w:multiLevelType w:val="multilevel"/>
    <w:tmpl w:val="CF8CD2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B8542A"/>
    <w:multiLevelType w:val="hybridMultilevel"/>
    <w:tmpl w:val="243A17C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8140CB5"/>
    <w:multiLevelType w:val="multilevel"/>
    <w:tmpl w:val="6794200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CBE1521"/>
    <w:multiLevelType w:val="hybridMultilevel"/>
    <w:tmpl w:val="8A92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F50A0"/>
    <w:multiLevelType w:val="multilevel"/>
    <w:tmpl w:val="A850B93C"/>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6B95B23"/>
    <w:multiLevelType w:val="hybridMultilevel"/>
    <w:tmpl w:val="343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16"/>
  </w:num>
  <w:num w:numId="5">
    <w:abstractNumId w:val="19"/>
  </w:num>
  <w:num w:numId="6">
    <w:abstractNumId w:val="6"/>
  </w:num>
  <w:num w:numId="7">
    <w:abstractNumId w:val="21"/>
  </w:num>
  <w:num w:numId="8">
    <w:abstractNumId w:val="5"/>
  </w:num>
  <w:num w:numId="9">
    <w:abstractNumId w:val="2"/>
  </w:num>
  <w:num w:numId="10">
    <w:abstractNumId w:val="7"/>
  </w:num>
  <w:num w:numId="11">
    <w:abstractNumId w:val="9"/>
  </w:num>
  <w:num w:numId="12">
    <w:abstractNumId w:val="17"/>
  </w:num>
  <w:num w:numId="13">
    <w:abstractNumId w:val="24"/>
  </w:num>
  <w:num w:numId="14">
    <w:abstractNumId w:val="26"/>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num>
  <w:num w:numId="18">
    <w:abstractNumId w:val="4"/>
  </w:num>
  <w:num w:numId="19">
    <w:abstractNumId w:val="20"/>
  </w:num>
  <w:num w:numId="20">
    <w:abstractNumId w:val="27"/>
  </w:num>
  <w:num w:numId="21">
    <w:abstractNumId w:val="10"/>
  </w:num>
  <w:num w:numId="22">
    <w:abstractNumId w:val="18"/>
  </w:num>
  <w:num w:numId="23">
    <w:abstractNumId w:val="3"/>
  </w:num>
  <w:num w:numId="24">
    <w:abstractNumId w:val="15"/>
  </w:num>
  <w:num w:numId="25">
    <w:abstractNumId w:val="1"/>
  </w:num>
  <w:num w:numId="26">
    <w:abstractNumId w:val="8"/>
  </w:num>
  <w:num w:numId="27">
    <w:abstractNumId w:val="12"/>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A4"/>
    <w:rsid w:val="00001234"/>
    <w:rsid w:val="00006291"/>
    <w:rsid w:val="000123A3"/>
    <w:rsid w:val="000221CC"/>
    <w:rsid w:val="00032908"/>
    <w:rsid w:val="000442A9"/>
    <w:rsid w:val="0005267E"/>
    <w:rsid w:val="00054660"/>
    <w:rsid w:val="00057A0A"/>
    <w:rsid w:val="000624AA"/>
    <w:rsid w:val="00067CAF"/>
    <w:rsid w:val="000773F0"/>
    <w:rsid w:val="00077EAD"/>
    <w:rsid w:val="00096C7F"/>
    <w:rsid w:val="00097657"/>
    <w:rsid w:val="000A2B8D"/>
    <w:rsid w:val="000B2E57"/>
    <w:rsid w:val="000C54B8"/>
    <w:rsid w:val="000E4B8A"/>
    <w:rsid w:val="000E7569"/>
    <w:rsid w:val="000F7856"/>
    <w:rsid w:val="0011228F"/>
    <w:rsid w:val="001179D2"/>
    <w:rsid w:val="00123E17"/>
    <w:rsid w:val="001269CA"/>
    <w:rsid w:val="001325ED"/>
    <w:rsid w:val="001569A2"/>
    <w:rsid w:val="0016252E"/>
    <w:rsid w:val="00163F0D"/>
    <w:rsid w:val="00183075"/>
    <w:rsid w:val="00196D39"/>
    <w:rsid w:val="001A1F81"/>
    <w:rsid w:val="001A5551"/>
    <w:rsid w:val="001A7842"/>
    <w:rsid w:val="001C1A42"/>
    <w:rsid w:val="001D39BD"/>
    <w:rsid w:val="001E4458"/>
    <w:rsid w:val="001E6EC9"/>
    <w:rsid w:val="00205415"/>
    <w:rsid w:val="00217E6A"/>
    <w:rsid w:val="00223DBE"/>
    <w:rsid w:val="00226889"/>
    <w:rsid w:val="00227229"/>
    <w:rsid w:val="002278D6"/>
    <w:rsid w:val="002300E3"/>
    <w:rsid w:val="00234919"/>
    <w:rsid w:val="00243A2A"/>
    <w:rsid w:val="00260386"/>
    <w:rsid w:val="0026695C"/>
    <w:rsid w:val="0027274E"/>
    <w:rsid w:val="00275731"/>
    <w:rsid w:val="0027769A"/>
    <w:rsid w:val="0028064B"/>
    <w:rsid w:val="00286B20"/>
    <w:rsid w:val="0029080F"/>
    <w:rsid w:val="002B674B"/>
    <w:rsid w:val="002B70D7"/>
    <w:rsid w:val="002C708A"/>
    <w:rsid w:val="002D32AA"/>
    <w:rsid w:val="002E1338"/>
    <w:rsid w:val="002E3F01"/>
    <w:rsid w:val="002F4B57"/>
    <w:rsid w:val="003044AB"/>
    <w:rsid w:val="0031483A"/>
    <w:rsid w:val="00327E7C"/>
    <w:rsid w:val="00331CEE"/>
    <w:rsid w:val="0033243D"/>
    <w:rsid w:val="003336D6"/>
    <w:rsid w:val="00334112"/>
    <w:rsid w:val="00341EF5"/>
    <w:rsid w:val="00350B7C"/>
    <w:rsid w:val="00367A11"/>
    <w:rsid w:val="00370440"/>
    <w:rsid w:val="0037209F"/>
    <w:rsid w:val="003869F1"/>
    <w:rsid w:val="00391593"/>
    <w:rsid w:val="00393E9F"/>
    <w:rsid w:val="00395D3E"/>
    <w:rsid w:val="00397A96"/>
    <w:rsid w:val="003A4EAF"/>
    <w:rsid w:val="003B18AA"/>
    <w:rsid w:val="003C0A5F"/>
    <w:rsid w:val="003C5AF6"/>
    <w:rsid w:val="003F0338"/>
    <w:rsid w:val="003F28DE"/>
    <w:rsid w:val="003F430E"/>
    <w:rsid w:val="003F4E3A"/>
    <w:rsid w:val="004249E1"/>
    <w:rsid w:val="004268DF"/>
    <w:rsid w:val="004306EA"/>
    <w:rsid w:val="00430B68"/>
    <w:rsid w:val="00443D3C"/>
    <w:rsid w:val="00453BC9"/>
    <w:rsid w:val="00456146"/>
    <w:rsid w:val="004722EB"/>
    <w:rsid w:val="00492529"/>
    <w:rsid w:val="00497167"/>
    <w:rsid w:val="004A4F36"/>
    <w:rsid w:val="004B1AC5"/>
    <w:rsid w:val="004C1DA1"/>
    <w:rsid w:val="004C5068"/>
    <w:rsid w:val="004D0515"/>
    <w:rsid w:val="004D2645"/>
    <w:rsid w:val="004D6517"/>
    <w:rsid w:val="004F669D"/>
    <w:rsid w:val="004F74D9"/>
    <w:rsid w:val="00504417"/>
    <w:rsid w:val="00517F2D"/>
    <w:rsid w:val="00524F0F"/>
    <w:rsid w:val="00536C64"/>
    <w:rsid w:val="005430A3"/>
    <w:rsid w:val="005533BB"/>
    <w:rsid w:val="0055444D"/>
    <w:rsid w:val="00580DDB"/>
    <w:rsid w:val="005845BE"/>
    <w:rsid w:val="00597549"/>
    <w:rsid w:val="005B5178"/>
    <w:rsid w:val="005B709B"/>
    <w:rsid w:val="005D1D65"/>
    <w:rsid w:val="005D4147"/>
    <w:rsid w:val="005D6C42"/>
    <w:rsid w:val="005D6E06"/>
    <w:rsid w:val="005E5F28"/>
    <w:rsid w:val="005F2747"/>
    <w:rsid w:val="005F6F98"/>
    <w:rsid w:val="0061438D"/>
    <w:rsid w:val="00622B41"/>
    <w:rsid w:val="00626D5E"/>
    <w:rsid w:val="006753F2"/>
    <w:rsid w:val="00690096"/>
    <w:rsid w:val="00694C7B"/>
    <w:rsid w:val="006A3902"/>
    <w:rsid w:val="006C2382"/>
    <w:rsid w:val="006C2D3B"/>
    <w:rsid w:val="006E4A05"/>
    <w:rsid w:val="006F7717"/>
    <w:rsid w:val="00705344"/>
    <w:rsid w:val="007103C1"/>
    <w:rsid w:val="00713938"/>
    <w:rsid w:val="0072757F"/>
    <w:rsid w:val="0074367A"/>
    <w:rsid w:val="00773FB8"/>
    <w:rsid w:val="00776F5D"/>
    <w:rsid w:val="00780B5B"/>
    <w:rsid w:val="00785257"/>
    <w:rsid w:val="007949B7"/>
    <w:rsid w:val="007A0254"/>
    <w:rsid w:val="007B0434"/>
    <w:rsid w:val="007B7734"/>
    <w:rsid w:val="007C43E2"/>
    <w:rsid w:val="007C5E84"/>
    <w:rsid w:val="007D0684"/>
    <w:rsid w:val="007E7397"/>
    <w:rsid w:val="007F420B"/>
    <w:rsid w:val="007F4C74"/>
    <w:rsid w:val="007F7AFF"/>
    <w:rsid w:val="0080033D"/>
    <w:rsid w:val="00803A6F"/>
    <w:rsid w:val="00815348"/>
    <w:rsid w:val="00824CCB"/>
    <w:rsid w:val="008251AD"/>
    <w:rsid w:val="00830F68"/>
    <w:rsid w:val="008465FC"/>
    <w:rsid w:val="008474B1"/>
    <w:rsid w:val="0086234F"/>
    <w:rsid w:val="00874400"/>
    <w:rsid w:val="008760AE"/>
    <w:rsid w:val="0088110E"/>
    <w:rsid w:val="00890C36"/>
    <w:rsid w:val="008A3420"/>
    <w:rsid w:val="008A5E10"/>
    <w:rsid w:val="008A6110"/>
    <w:rsid w:val="008A6938"/>
    <w:rsid w:val="008A7F98"/>
    <w:rsid w:val="008B0CE0"/>
    <w:rsid w:val="008B3B74"/>
    <w:rsid w:val="008C2BED"/>
    <w:rsid w:val="008C5074"/>
    <w:rsid w:val="008D0475"/>
    <w:rsid w:val="008D0744"/>
    <w:rsid w:val="008E1B83"/>
    <w:rsid w:val="008E1D9C"/>
    <w:rsid w:val="008E24E5"/>
    <w:rsid w:val="008F5023"/>
    <w:rsid w:val="00900501"/>
    <w:rsid w:val="009054FE"/>
    <w:rsid w:val="00916E5C"/>
    <w:rsid w:val="00920FCA"/>
    <w:rsid w:val="00936472"/>
    <w:rsid w:val="00945E10"/>
    <w:rsid w:val="00946339"/>
    <w:rsid w:val="00955CED"/>
    <w:rsid w:val="009579F7"/>
    <w:rsid w:val="00960794"/>
    <w:rsid w:val="00964606"/>
    <w:rsid w:val="00982EFB"/>
    <w:rsid w:val="00983E40"/>
    <w:rsid w:val="009B29ED"/>
    <w:rsid w:val="009C3BCD"/>
    <w:rsid w:val="009E44E7"/>
    <w:rsid w:val="009F56D8"/>
    <w:rsid w:val="009F59D3"/>
    <w:rsid w:val="00A02DEF"/>
    <w:rsid w:val="00A0334E"/>
    <w:rsid w:val="00A03E00"/>
    <w:rsid w:val="00A256C3"/>
    <w:rsid w:val="00A455E7"/>
    <w:rsid w:val="00A65B51"/>
    <w:rsid w:val="00A74745"/>
    <w:rsid w:val="00A92B28"/>
    <w:rsid w:val="00AB0000"/>
    <w:rsid w:val="00AB1C38"/>
    <w:rsid w:val="00AB6B6A"/>
    <w:rsid w:val="00AB6F32"/>
    <w:rsid w:val="00AC13DB"/>
    <w:rsid w:val="00AC20A5"/>
    <w:rsid w:val="00AC2D32"/>
    <w:rsid w:val="00AD1623"/>
    <w:rsid w:val="00AE44DE"/>
    <w:rsid w:val="00AF0076"/>
    <w:rsid w:val="00AF3420"/>
    <w:rsid w:val="00B125AB"/>
    <w:rsid w:val="00B12E02"/>
    <w:rsid w:val="00B13967"/>
    <w:rsid w:val="00B17BD2"/>
    <w:rsid w:val="00B24006"/>
    <w:rsid w:val="00B47593"/>
    <w:rsid w:val="00B60548"/>
    <w:rsid w:val="00B65CD3"/>
    <w:rsid w:val="00B74305"/>
    <w:rsid w:val="00B84E0E"/>
    <w:rsid w:val="00B94928"/>
    <w:rsid w:val="00BA26EE"/>
    <w:rsid w:val="00BA6634"/>
    <w:rsid w:val="00BB4763"/>
    <w:rsid w:val="00BB4C4D"/>
    <w:rsid w:val="00BD2309"/>
    <w:rsid w:val="00BE4A29"/>
    <w:rsid w:val="00BE4AE5"/>
    <w:rsid w:val="00BE5734"/>
    <w:rsid w:val="00BF5B37"/>
    <w:rsid w:val="00BF5DAC"/>
    <w:rsid w:val="00BF7F35"/>
    <w:rsid w:val="00C327EE"/>
    <w:rsid w:val="00C535DD"/>
    <w:rsid w:val="00C5609D"/>
    <w:rsid w:val="00C62EAD"/>
    <w:rsid w:val="00C748D7"/>
    <w:rsid w:val="00C74F82"/>
    <w:rsid w:val="00C822F6"/>
    <w:rsid w:val="00C839B4"/>
    <w:rsid w:val="00CB0089"/>
    <w:rsid w:val="00CB3914"/>
    <w:rsid w:val="00CB4A4D"/>
    <w:rsid w:val="00CD0F9B"/>
    <w:rsid w:val="00CF36C4"/>
    <w:rsid w:val="00D006F0"/>
    <w:rsid w:val="00D040C8"/>
    <w:rsid w:val="00D06E7F"/>
    <w:rsid w:val="00D070C1"/>
    <w:rsid w:val="00D25307"/>
    <w:rsid w:val="00D34690"/>
    <w:rsid w:val="00D40902"/>
    <w:rsid w:val="00D5585B"/>
    <w:rsid w:val="00D71DAB"/>
    <w:rsid w:val="00D72058"/>
    <w:rsid w:val="00D772AC"/>
    <w:rsid w:val="00D961F9"/>
    <w:rsid w:val="00D9658F"/>
    <w:rsid w:val="00DA024A"/>
    <w:rsid w:val="00DA3A0B"/>
    <w:rsid w:val="00DC3551"/>
    <w:rsid w:val="00DD76BB"/>
    <w:rsid w:val="00DD7BFA"/>
    <w:rsid w:val="00DE4605"/>
    <w:rsid w:val="00DE486C"/>
    <w:rsid w:val="00DF14B3"/>
    <w:rsid w:val="00DF56B0"/>
    <w:rsid w:val="00E0125C"/>
    <w:rsid w:val="00E0535C"/>
    <w:rsid w:val="00E06C9D"/>
    <w:rsid w:val="00E14A1D"/>
    <w:rsid w:val="00E15501"/>
    <w:rsid w:val="00E16FAF"/>
    <w:rsid w:val="00E240B5"/>
    <w:rsid w:val="00E32748"/>
    <w:rsid w:val="00E33DA4"/>
    <w:rsid w:val="00E377B5"/>
    <w:rsid w:val="00E43351"/>
    <w:rsid w:val="00E55134"/>
    <w:rsid w:val="00E604AB"/>
    <w:rsid w:val="00E834F0"/>
    <w:rsid w:val="00E96F93"/>
    <w:rsid w:val="00E97F99"/>
    <w:rsid w:val="00EA01BC"/>
    <w:rsid w:val="00EA30A0"/>
    <w:rsid w:val="00EA4187"/>
    <w:rsid w:val="00EA637E"/>
    <w:rsid w:val="00EA6B66"/>
    <w:rsid w:val="00EE623B"/>
    <w:rsid w:val="00EF3111"/>
    <w:rsid w:val="00F01401"/>
    <w:rsid w:val="00F028A2"/>
    <w:rsid w:val="00F06087"/>
    <w:rsid w:val="00F1780D"/>
    <w:rsid w:val="00F24012"/>
    <w:rsid w:val="00F3070C"/>
    <w:rsid w:val="00F36D0A"/>
    <w:rsid w:val="00F47618"/>
    <w:rsid w:val="00F531C8"/>
    <w:rsid w:val="00F547E1"/>
    <w:rsid w:val="00F56E3F"/>
    <w:rsid w:val="00F77538"/>
    <w:rsid w:val="00F85E17"/>
    <w:rsid w:val="00F86021"/>
    <w:rsid w:val="00F90B1A"/>
    <w:rsid w:val="00F970C2"/>
    <w:rsid w:val="00FB1D52"/>
    <w:rsid w:val="00FC492E"/>
    <w:rsid w:val="00FC5F3D"/>
    <w:rsid w:val="00FC7376"/>
    <w:rsid w:val="00FC746E"/>
    <w:rsid w:val="00FE6C0E"/>
    <w:rsid w:val="00FE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480A713-92D9-4655-B545-5B640EA1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96C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0"/>
      <w:szCs w:val="24"/>
      <w:lang w:val="en-US"/>
    </w:rPr>
  </w:style>
  <w:style w:type="paragraph" w:customStyle="1" w:styleId="Bulletsround">
    <w:name w:val="Bullets (round)"/>
    <w:basedOn w:val="Normal"/>
    <w:link w:val="BulletsroundChar"/>
    <w:pPr>
      <w:numPr>
        <w:numId w:val="2"/>
      </w:numPr>
      <w:spacing w:after="0" w:line="240" w:lineRule="auto"/>
    </w:pPr>
    <w:rPr>
      <w:rFonts w:ascii="Tahoma" w:eastAsia="Times New Roman" w:hAnsi="Tahoma" w:cs="Times New Roman"/>
      <w:color w:val="000000"/>
      <w:sz w:val="24"/>
      <w:szCs w:val="24"/>
    </w:rPr>
  </w:style>
  <w:style w:type="character" w:customStyle="1" w:styleId="BulletsroundChar">
    <w:name w:val="Bullets (round) Char"/>
    <w:basedOn w:val="DefaultParagraphFont"/>
    <w:link w:val="Bulletsround"/>
    <w:rPr>
      <w:rFonts w:ascii="Tahoma" w:eastAsia="Times New Roman" w:hAnsi="Tahoma" w:cs="Times New Roman"/>
      <w:color w:val="000000"/>
      <w:sz w:val="24"/>
      <w:szCs w:val="24"/>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customStyle="1" w:styleId="style91">
    <w:name w:val="style91"/>
    <w:basedOn w:val="DefaultParagraphFont"/>
    <w:rPr>
      <w:rFonts w:ascii="Arial" w:hAnsi="Arial" w:cs="Arial" w:hint="default"/>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45" w:after="120" w:line="288" w:lineRule="atLeast"/>
      <w:ind w:left="75" w:right="75"/>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pPr>
      <w:spacing w:after="0"/>
    </w:pPr>
    <w:rPr>
      <w:rFonts w:ascii="Tahoma" w:eastAsia="Times New Roman" w:hAnsi="Tahoma" w:cs="Times New Roman"/>
      <w:b/>
      <w:bCs/>
      <w:color w:val="000000"/>
      <w:lang w:eastAsia="en-US"/>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lang w:eastAsia="en-US"/>
    </w:rPr>
  </w:style>
  <w:style w:type="paragraph" w:customStyle="1" w:styleId="Tabletextbullet">
    <w:name w:val="Table text bullet"/>
    <w:basedOn w:val="Normal"/>
    <w:pPr>
      <w:numPr>
        <w:numId w:val="3"/>
      </w:numPr>
      <w:spacing w:before="60" w:after="60" w:line="240" w:lineRule="auto"/>
      <w:contextualSpacing/>
    </w:pPr>
    <w:rPr>
      <w:rFonts w:ascii="Tahoma" w:eastAsia="Times New Roman" w:hAnsi="Tahoma" w:cs="Times New Roman"/>
      <w:color w:val="000000"/>
      <w:szCs w:val="24"/>
      <w:lang w:eastAsia="en-US"/>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lang w:eastAsia="en-US"/>
    </w:rPr>
  </w:style>
  <w:style w:type="character" w:styleId="FootnoteReference">
    <w:name w:val="footnote reference"/>
    <w:semiHidden/>
    <w:rPr>
      <w:vertAlign w:val="superscript"/>
    </w:rPr>
  </w:style>
  <w:style w:type="paragraph" w:customStyle="1" w:styleId="Bulletsspaced-lastbullet">
    <w:name w:val="Bullets (spaced) - last bullet"/>
    <w:basedOn w:val="Normal"/>
    <w:link w:val="Bulletsspaced-lastbulletChar"/>
    <w:uiPriority w:val="99"/>
    <w:pPr>
      <w:tabs>
        <w:tab w:val="num" w:pos="1980"/>
      </w:tabs>
      <w:spacing w:before="120" w:after="240" w:line="240" w:lineRule="auto"/>
      <w:ind w:left="1980" w:hanging="360"/>
    </w:pPr>
    <w:rPr>
      <w:rFonts w:ascii="Tahoma" w:eastAsia="Times New Roman" w:hAnsi="Tahoma" w:cs="Times New Roman"/>
      <w:color w:val="000000"/>
      <w:sz w:val="20"/>
      <w:szCs w:val="20"/>
      <w:lang w:eastAsia="en-US"/>
    </w:rPr>
  </w:style>
  <w:style w:type="character" w:customStyle="1" w:styleId="Bulletsspaced-lastbulletChar">
    <w:name w:val="Bullets (spaced) - last bullet Char"/>
    <w:link w:val="Bulletsspaced-lastbullet"/>
    <w:uiPriority w:val="99"/>
    <w:locked/>
    <w:rPr>
      <w:rFonts w:ascii="Tahoma" w:eastAsia="Times New Roman" w:hAnsi="Tahoma" w:cs="Times New Roman"/>
      <w:color w:val="000000"/>
      <w:sz w:val="20"/>
      <w:szCs w:val="20"/>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customStyle="1" w:styleId="Tabletext-left">
    <w:name w:val="Table text - left"/>
    <w:basedOn w:val="Normal"/>
    <w:link w:val="Tabletext-leftChar"/>
    <w:pPr>
      <w:spacing w:before="60" w:after="60" w:line="240" w:lineRule="auto"/>
      <w:contextualSpacing/>
    </w:pPr>
    <w:rPr>
      <w:rFonts w:ascii="Tahoma" w:eastAsia="Times New Roman" w:hAnsi="Tahoma" w:cs="Times New Roman"/>
      <w:color w:val="000000"/>
      <w:szCs w:val="24"/>
      <w:lang w:eastAsia="en-US"/>
    </w:rPr>
  </w:style>
  <w:style w:type="character" w:customStyle="1" w:styleId="Tabletext-leftChar">
    <w:name w:val="Table text - left Char"/>
    <w:link w:val="Tabletext-left"/>
    <w:locked/>
    <w:rPr>
      <w:rFonts w:ascii="Tahoma" w:eastAsia="Times New Roman" w:hAnsi="Tahoma" w:cs="Times New Roman"/>
      <w:color w:val="000000"/>
      <w:szCs w:val="24"/>
      <w:lang w:eastAsia="en-US"/>
    </w:rPr>
  </w:style>
  <w:style w:type="character" w:styleId="Strong">
    <w:name w:val="Strong"/>
    <w:basedOn w:val="DefaultParagraphFont"/>
    <w:uiPriority w:val="22"/>
    <w:qFormat/>
    <w:rPr>
      <w:b/>
      <w:bCs/>
    </w:r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eastAsiaTheme="minorHAnsi" w:hAnsi="Calibri"/>
      <w:szCs w:val="21"/>
      <w:lang w:eastAsia="en-US"/>
    </w:rPr>
  </w:style>
  <w:style w:type="paragraph" w:styleId="TOC3">
    <w:name w:val="toc 3"/>
    <w:basedOn w:val="Normal"/>
    <w:next w:val="Normal"/>
    <w:autoRedefine/>
    <w:uiPriority w:val="39"/>
    <w:unhideWhenUsed/>
    <w:pPr>
      <w:spacing w:after="100"/>
      <w:ind w:left="440"/>
    </w:pPr>
  </w:style>
  <w:style w:type="table" w:customStyle="1" w:styleId="TableGrid1">
    <w:name w:val="Table Grid1"/>
    <w:basedOn w:val="TableNormal"/>
    <w:next w:val="TableGrid"/>
    <w:uiPriority w:val="59"/>
    <w:rsid w:val="008A6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96C7F"/>
    <w:rPr>
      <w:rFonts w:asciiTheme="majorHAnsi" w:eastAsiaTheme="majorEastAsia" w:hAnsiTheme="majorHAnsi" w:cstheme="majorBidi"/>
      <w:color w:val="243F60" w:themeColor="accent1" w:themeShade="7F"/>
    </w:rPr>
  </w:style>
  <w:style w:type="character" w:customStyle="1" w:styleId="st1">
    <w:name w:val="st1"/>
    <w:basedOn w:val="DefaultParagraphFont"/>
    <w:rsid w:val="007E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712">
      <w:bodyDiv w:val="1"/>
      <w:marLeft w:val="0"/>
      <w:marRight w:val="0"/>
      <w:marTop w:val="0"/>
      <w:marBottom w:val="0"/>
      <w:divBdr>
        <w:top w:val="none" w:sz="0" w:space="0" w:color="auto"/>
        <w:left w:val="none" w:sz="0" w:space="0" w:color="auto"/>
        <w:bottom w:val="none" w:sz="0" w:space="0" w:color="auto"/>
        <w:right w:val="none" w:sz="0" w:space="0" w:color="auto"/>
      </w:divBdr>
      <w:divsChild>
        <w:div w:id="565922955">
          <w:marLeft w:val="0"/>
          <w:marRight w:val="0"/>
          <w:marTop w:val="0"/>
          <w:marBottom w:val="0"/>
          <w:divBdr>
            <w:top w:val="none" w:sz="0" w:space="0" w:color="auto"/>
            <w:left w:val="none" w:sz="0" w:space="0" w:color="auto"/>
            <w:bottom w:val="none" w:sz="0" w:space="0" w:color="auto"/>
            <w:right w:val="none" w:sz="0" w:space="0" w:color="auto"/>
          </w:divBdr>
          <w:divsChild>
            <w:div w:id="1066301976">
              <w:marLeft w:val="0"/>
              <w:marRight w:val="0"/>
              <w:marTop w:val="0"/>
              <w:marBottom w:val="0"/>
              <w:divBdr>
                <w:top w:val="none" w:sz="0" w:space="0" w:color="auto"/>
                <w:left w:val="none" w:sz="0" w:space="0" w:color="auto"/>
                <w:bottom w:val="none" w:sz="0" w:space="0" w:color="auto"/>
                <w:right w:val="none" w:sz="0" w:space="0" w:color="auto"/>
              </w:divBdr>
              <w:divsChild>
                <w:div w:id="239602380">
                  <w:marLeft w:val="0"/>
                  <w:marRight w:val="0"/>
                  <w:marTop w:val="0"/>
                  <w:marBottom w:val="0"/>
                  <w:divBdr>
                    <w:top w:val="none" w:sz="0" w:space="0" w:color="auto"/>
                    <w:left w:val="none" w:sz="0" w:space="0" w:color="auto"/>
                    <w:bottom w:val="none" w:sz="0" w:space="0" w:color="auto"/>
                    <w:right w:val="none" w:sz="0" w:space="0" w:color="auto"/>
                  </w:divBdr>
                  <w:divsChild>
                    <w:div w:id="1063026083">
                      <w:marLeft w:val="0"/>
                      <w:marRight w:val="0"/>
                      <w:marTop w:val="0"/>
                      <w:marBottom w:val="0"/>
                      <w:divBdr>
                        <w:top w:val="none" w:sz="0" w:space="0" w:color="auto"/>
                        <w:left w:val="none" w:sz="0" w:space="0" w:color="auto"/>
                        <w:bottom w:val="none" w:sz="0" w:space="0" w:color="auto"/>
                        <w:right w:val="none" w:sz="0" w:space="0" w:color="auto"/>
                      </w:divBdr>
                      <w:divsChild>
                        <w:div w:id="295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9870">
      <w:bodyDiv w:val="1"/>
      <w:marLeft w:val="0"/>
      <w:marRight w:val="0"/>
      <w:marTop w:val="0"/>
      <w:marBottom w:val="0"/>
      <w:divBdr>
        <w:top w:val="none" w:sz="0" w:space="0" w:color="auto"/>
        <w:left w:val="none" w:sz="0" w:space="0" w:color="auto"/>
        <w:bottom w:val="none" w:sz="0" w:space="0" w:color="auto"/>
        <w:right w:val="none" w:sz="0" w:space="0" w:color="auto"/>
      </w:divBdr>
    </w:div>
    <w:div w:id="45683432">
      <w:bodyDiv w:val="1"/>
      <w:marLeft w:val="0"/>
      <w:marRight w:val="0"/>
      <w:marTop w:val="0"/>
      <w:marBottom w:val="0"/>
      <w:divBdr>
        <w:top w:val="none" w:sz="0" w:space="0" w:color="auto"/>
        <w:left w:val="none" w:sz="0" w:space="0" w:color="auto"/>
        <w:bottom w:val="none" w:sz="0" w:space="0" w:color="auto"/>
        <w:right w:val="none" w:sz="0" w:space="0" w:color="auto"/>
      </w:divBdr>
    </w:div>
    <w:div w:id="89544130">
      <w:bodyDiv w:val="1"/>
      <w:marLeft w:val="0"/>
      <w:marRight w:val="0"/>
      <w:marTop w:val="0"/>
      <w:marBottom w:val="0"/>
      <w:divBdr>
        <w:top w:val="none" w:sz="0" w:space="0" w:color="auto"/>
        <w:left w:val="none" w:sz="0" w:space="0" w:color="auto"/>
        <w:bottom w:val="none" w:sz="0" w:space="0" w:color="auto"/>
        <w:right w:val="none" w:sz="0" w:space="0" w:color="auto"/>
      </w:divBdr>
    </w:div>
    <w:div w:id="92747315">
      <w:bodyDiv w:val="1"/>
      <w:marLeft w:val="0"/>
      <w:marRight w:val="0"/>
      <w:marTop w:val="0"/>
      <w:marBottom w:val="0"/>
      <w:divBdr>
        <w:top w:val="none" w:sz="0" w:space="0" w:color="auto"/>
        <w:left w:val="none" w:sz="0" w:space="0" w:color="auto"/>
        <w:bottom w:val="none" w:sz="0" w:space="0" w:color="auto"/>
        <w:right w:val="none" w:sz="0" w:space="0" w:color="auto"/>
      </w:divBdr>
    </w:div>
    <w:div w:id="106824770">
      <w:bodyDiv w:val="1"/>
      <w:marLeft w:val="0"/>
      <w:marRight w:val="0"/>
      <w:marTop w:val="0"/>
      <w:marBottom w:val="0"/>
      <w:divBdr>
        <w:top w:val="none" w:sz="0" w:space="0" w:color="auto"/>
        <w:left w:val="none" w:sz="0" w:space="0" w:color="auto"/>
        <w:bottom w:val="none" w:sz="0" w:space="0" w:color="auto"/>
        <w:right w:val="none" w:sz="0" w:space="0" w:color="auto"/>
      </w:divBdr>
      <w:divsChild>
        <w:div w:id="1571430125">
          <w:marLeft w:val="0"/>
          <w:marRight w:val="0"/>
          <w:marTop w:val="0"/>
          <w:marBottom w:val="0"/>
          <w:divBdr>
            <w:top w:val="none" w:sz="0" w:space="0" w:color="auto"/>
            <w:left w:val="none" w:sz="0" w:space="0" w:color="auto"/>
            <w:bottom w:val="none" w:sz="0" w:space="0" w:color="auto"/>
            <w:right w:val="none" w:sz="0" w:space="0" w:color="auto"/>
          </w:divBdr>
          <w:divsChild>
            <w:div w:id="536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2787">
      <w:bodyDiv w:val="1"/>
      <w:marLeft w:val="0"/>
      <w:marRight w:val="0"/>
      <w:marTop w:val="0"/>
      <w:marBottom w:val="0"/>
      <w:divBdr>
        <w:top w:val="none" w:sz="0" w:space="0" w:color="auto"/>
        <w:left w:val="none" w:sz="0" w:space="0" w:color="auto"/>
        <w:bottom w:val="none" w:sz="0" w:space="0" w:color="auto"/>
        <w:right w:val="none" w:sz="0" w:space="0" w:color="auto"/>
      </w:divBdr>
    </w:div>
    <w:div w:id="211813909">
      <w:bodyDiv w:val="1"/>
      <w:marLeft w:val="0"/>
      <w:marRight w:val="0"/>
      <w:marTop w:val="0"/>
      <w:marBottom w:val="0"/>
      <w:divBdr>
        <w:top w:val="none" w:sz="0" w:space="0" w:color="auto"/>
        <w:left w:val="none" w:sz="0" w:space="0" w:color="auto"/>
        <w:bottom w:val="none" w:sz="0" w:space="0" w:color="auto"/>
        <w:right w:val="none" w:sz="0" w:space="0" w:color="auto"/>
      </w:divBdr>
      <w:divsChild>
        <w:div w:id="318656554">
          <w:marLeft w:val="0"/>
          <w:marRight w:val="0"/>
          <w:marTop w:val="0"/>
          <w:marBottom w:val="0"/>
          <w:divBdr>
            <w:top w:val="none" w:sz="0" w:space="0" w:color="auto"/>
            <w:left w:val="none" w:sz="0" w:space="0" w:color="auto"/>
            <w:bottom w:val="none" w:sz="0" w:space="0" w:color="auto"/>
            <w:right w:val="none" w:sz="0" w:space="0" w:color="auto"/>
          </w:divBdr>
        </w:div>
        <w:div w:id="678849394">
          <w:marLeft w:val="0"/>
          <w:marRight w:val="0"/>
          <w:marTop w:val="0"/>
          <w:marBottom w:val="0"/>
          <w:divBdr>
            <w:top w:val="none" w:sz="0" w:space="0" w:color="auto"/>
            <w:left w:val="none" w:sz="0" w:space="0" w:color="auto"/>
            <w:bottom w:val="none" w:sz="0" w:space="0" w:color="auto"/>
            <w:right w:val="none" w:sz="0" w:space="0" w:color="auto"/>
          </w:divBdr>
        </w:div>
        <w:div w:id="1567103779">
          <w:marLeft w:val="0"/>
          <w:marRight w:val="0"/>
          <w:marTop w:val="0"/>
          <w:marBottom w:val="0"/>
          <w:divBdr>
            <w:top w:val="none" w:sz="0" w:space="0" w:color="auto"/>
            <w:left w:val="none" w:sz="0" w:space="0" w:color="auto"/>
            <w:bottom w:val="none" w:sz="0" w:space="0" w:color="auto"/>
            <w:right w:val="none" w:sz="0" w:space="0" w:color="auto"/>
          </w:divBdr>
        </w:div>
      </w:divsChild>
    </w:div>
    <w:div w:id="288779472">
      <w:bodyDiv w:val="1"/>
      <w:marLeft w:val="0"/>
      <w:marRight w:val="0"/>
      <w:marTop w:val="0"/>
      <w:marBottom w:val="0"/>
      <w:divBdr>
        <w:top w:val="none" w:sz="0" w:space="0" w:color="auto"/>
        <w:left w:val="none" w:sz="0" w:space="0" w:color="auto"/>
        <w:bottom w:val="none" w:sz="0" w:space="0" w:color="auto"/>
        <w:right w:val="none" w:sz="0" w:space="0" w:color="auto"/>
      </w:divBdr>
    </w:div>
    <w:div w:id="365448987">
      <w:bodyDiv w:val="1"/>
      <w:marLeft w:val="0"/>
      <w:marRight w:val="0"/>
      <w:marTop w:val="0"/>
      <w:marBottom w:val="0"/>
      <w:divBdr>
        <w:top w:val="none" w:sz="0" w:space="0" w:color="auto"/>
        <w:left w:val="none" w:sz="0" w:space="0" w:color="auto"/>
        <w:bottom w:val="none" w:sz="0" w:space="0" w:color="auto"/>
        <w:right w:val="none" w:sz="0" w:space="0" w:color="auto"/>
      </w:divBdr>
    </w:div>
    <w:div w:id="366879090">
      <w:bodyDiv w:val="1"/>
      <w:marLeft w:val="0"/>
      <w:marRight w:val="0"/>
      <w:marTop w:val="0"/>
      <w:marBottom w:val="0"/>
      <w:divBdr>
        <w:top w:val="none" w:sz="0" w:space="0" w:color="auto"/>
        <w:left w:val="none" w:sz="0" w:space="0" w:color="auto"/>
        <w:bottom w:val="none" w:sz="0" w:space="0" w:color="auto"/>
        <w:right w:val="none" w:sz="0" w:space="0" w:color="auto"/>
      </w:divBdr>
    </w:div>
    <w:div w:id="426269894">
      <w:bodyDiv w:val="1"/>
      <w:marLeft w:val="0"/>
      <w:marRight w:val="0"/>
      <w:marTop w:val="0"/>
      <w:marBottom w:val="0"/>
      <w:divBdr>
        <w:top w:val="none" w:sz="0" w:space="0" w:color="auto"/>
        <w:left w:val="none" w:sz="0" w:space="0" w:color="auto"/>
        <w:bottom w:val="none" w:sz="0" w:space="0" w:color="auto"/>
        <w:right w:val="none" w:sz="0" w:space="0" w:color="auto"/>
      </w:divBdr>
    </w:div>
    <w:div w:id="474300614">
      <w:bodyDiv w:val="1"/>
      <w:marLeft w:val="0"/>
      <w:marRight w:val="0"/>
      <w:marTop w:val="0"/>
      <w:marBottom w:val="0"/>
      <w:divBdr>
        <w:top w:val="none" w:sz="0" w:space="0" w:color="auto"/>
        <w:left w:val="none" w:sz="0" w:space="0" w:color="auto"/>
        <w:bottom w:val="none" w:sz="0" w:space="0" w:color="auto"/>
        <w:right w:val="none" w:sz="0" w:space="0" w:color="auto"/>
      </w:divBdr>
    </w:div>
    <w:div w:id="492572482">
      <w:bodyDiv w:val="1"/>
      <w:marLeft w:val="0"/>
      <w:marRight w:val="0"/>
      <w:marTop w:val="0"/>
      <w:marBottom w:val="0"/>
      <w:divBdr>
        <w:top w:val="none" w:sz="0" w:space="0" w:color="auto"/>
        <w:left w:val="none" w:sz="0" w:space="0" w:color="auto"/>
        <w:bottom w:val="none" w:sz="0" w:space="0" w:color="auto"/>
        <w:right w:val="none" w:sz="0" w:space="0" w:color="auto"/>
      </w:divBdr>
      <w:divsChild>
        <w:div w:id="1439447728">
          <w:marLeft w:val="0"/>
          <w:marRight w:val="0"/>
          <w:marTop w:val="0"/>
          <w:marBottom w:val="0"/>
          <w:divBdr>
            <w:top w:val="none" w:sz="0" w:space="0" w:color="auto"/>
            <w:left w:val="none" w:sz="0" w:space="0" w:color="auto"/>
            <w:bottom w:val="none" w:sz="0" w:space="0" w:color="auto"/>
            <w:right w:val="none" w:sz="0" w:space="0" w:color="auto"/>
          </w:divBdr>
        </w:div>
      </w:divsChild>
    </w:div>
    <w:div w:id="544566345">
      <w:bodyDiv w:val="1"/>
      <w:marLeft w:val="0"/>
      <w:marRight w:val="0"/>
      <w:marTop w:val="0"/>
      <w:marBottom w:val="0"/>
      <w:divBdr>
        <w:top w:val="none" w:sz="0" w:space="0" w:color="auto"/>
        <w:left w:val="none" w:sz="0" w:space="0" w:color="auto"/>
        <w:bottom w:val="none" w:sz="0" w:space="0" w:color="auto"/>
        <w:right w:val="none" w:sz="0" w:space="0" w:color="auto"/>
      </w:divBdr>
    </w:div>
    <w:div w:id="566190303">
      <w:bodyDiv w:val="1"/>
      <w:marLeft w:val="0"/>
      <w:marRight w:val="0"/>
      <w:marTop w:val="0"/>
      <w:marBottom w:val="0"/>
      <w:divBdr>
        <w:top w:val="none" w:sz="0" w:space="0" w:color="auto"/>
        <w:left w:val="none" w:sz="0" w:space="0" w:color="auto"/>
        <w:bottom w:val="none" w:sz="0" w:space="0" w:color="auto"/>
        <w:right w:val="none" w:sz="0" w:space="0" w:color="auto"/>
      </w:divBdr>
    </w:div>
    <w:div w:id="575362415">
      <w:bodyDiv w:val="1"/>
      <w:marLeft w:val="0"/>
      <w:marRight w:val="0"/>
      <w:marTop w:val="0"/>
      <w:marBottom w:val="0"/>
      <w:divBdr>
        <w:top w:val="none" w:sz="0" w:space="0" w:color="auto"/>
        <w:left w:val="none" w:sz="0" w:space="0" w:color="auto"/>
        <w:bottom w:val="none" w:sz="0" w:space="0" w:color="auto"/>
        <w:right w:val="none" w:sz="0" w:space="0" w:color="auto"/>
      </w:divBdr>
    </w:div>
    <w:div w:id="633602213">
      <w:bodyDiv w:val="1"/>
      <w:marLeft w:val="0"/>
      <w:marRight w:val="0"/>
      <w:marTop w:val="0"/>
      <w:marBottom w:val="0"/>
      <w:divBdr>
        <w:top w:val="none" w:sz="0" w:space="0" w:color="auto"/>
        <w:left w:val="none" w:sz="0" w:space="0" w:color="auto"/>
        <w:bottom w:val="none" w:sz="0" w:space="0" w:color="auto"/>
        <w:right w:val="none" w:sz="0" w:space="0" w:color="auto"/>
      </w:divBdr>
    </w:div>
    <w:div w:id="644626763">
      <w:bodyDiv w:val="1"/>
      <w:marLeft w:val="0"/>
      <w:marRight w:val="0"/>
      <w:marTop w:val="0"/>
      <w:marBottom w:val="0"/>
      <w:divBdr>
        <w:top w:val="none" w:sz="0" w:space="0" w:color="auto"/>
        <w:left w:val="none" w:sz="0" w:space="0" w:color="auto"/>
        <w:bottom w:val="none" w:sz="0" w:space="0" w:color="auto"/>
        <w:right w:val="none" w:sz="0" w:space="0" w:color="auto"/>
      </w:divBdr>
    </w:div>
    <w:div w:id="666521606">
      <w:bodyDiv w:val="1"/>
      <w:marLeft w:val="0"/>
      <w:marRight w:val="0"/>
      <w:marTop w:val="0"/>
      <w:marBottom w:val="0"/>
      <w:divBdr>
        <w:top w:val="none" w:sz="0" w:space="0" w:color="auto"/>
        <w:left w:val="none" w:sz="0" w:space="0" w:color="auto"/>
        <w:bottom w:val="none" w:sz="0" w:space="0" w:color="auto"/>
        <w:right w:val="none" w:sz="0" w:space="0" w:color="auto"/>
      </w:divBdr>
    </w:div>
    <w:div w:id="708843909">
      <w:bodyDiv w:val="1"/>
      <w:marLeft w:val="0"/>
      <w:marRight w:val="0"/>
      <w:marTop w:val="0"/>
      <w:marBottom w:val="0"/>
      <w:divBdr>
        <w:top w:val="none" w:sz="0" w:space="0" w:color="auto"/>
        <w:left w:val="none" w:sz="0" w:space="0" w:color="auto"/>
        <w:bottom w:val="none" w:sz="0" w:space="0" w:color="auto"/>
        <w:right w:val="none" w:sz="0" w:space="0" w:color="auto"/>
      </w:divBdr>
    </w:div>
    <w:div w:id="821505841">
      <w:bodyDiv w:val="1"/>
      <w:marLeft w:val="0"/>
      <w:marRight w:val="0"/>
      <w:marTop w:val="0"/>
      <w:marBottom w:val="0"/>
      <w:divBdr>
        <w:top w:val="none" w:sz="0" w:space="0" w:color="auto"/>
        <w:left w:val="none" w:sz="0" w:space="0" w:color="auto"/>
        <w:bottom w:val="none" w:sz="0" w:space="0" w:color="auto"/>
        <w:right w:val="none" w:sz="0" w:space="0" w:color="auto"/>
      </w:divBdr>
    </w:div>
    <w:div w:id="859707839">
      <w:bodyDiv w:val="1"/>
      <w:marLeft w:val="0"/>
      <w:marRight w:val="0"/>
      <w:marTop w:val="0"/>
      <w:marBottom w:val="0"/>
      <w:divBdr>
        <w:top w:val="none" w:sz="0" w:space="0" w:color="auto"/>
        <w:left w:val="none" w:sz="0" w:space="0" w:color="auto"/>
        <w:bottom w:val="none" w:sz="0" w:space="0" w:color="auto"/>
        <w:right w:val="none" w:sz="0" w:space="0" w:color="auto"/>
      </w:divBdr>
    </w:div>
    <w:div w:id="903832879">
      <w:bodyDiv w:val="1"/>
      <w:marLeft w:val="0"/>
      <w:marRight w:val="0"/>
      <w:marTop w:val="0"/>
      <w:marBottom w:val="0"/>
      <w:divBdr>
        <w:top w:val="none" w:sz="0" w:space="0" w:color="auto"/>
        <w:left w:val="none" w:sz="0" w:space="0" w:color="auto"/>
        <w:bottom w:val="none" w:sz="0" w:space="0" w:color="auto"/>
        <w:right w:val="none" w:sz="0" w:space="0" w:color="auto"/>
      </w:divBdr>
      <w:divsChild>
        <w:div w:id="1654599054">
          <w:marLeft w:val="0"/>
          <w:marRight w:val="0"/>
          <w:marTop w:val="0"/>
          <w:marBottom w:val="0"/>
          <w:divBdr>
            <w:top w:val="none" w:sz="0" w:space="0" w:color="auto"/>
            <w:left w:val="none" w:sz="0" w:space="0" w:color="auto"/>
            <w:bottom w:val="none" w:sz="0" w:space="0" w:color="auto"/>
            <w:right w:val="none" w:sz="0" w:space="0" w:color="auto"/>
          </w:divBdr>
          <w:divsChild>
            <w:div w:id="2051300751">
              <w:marLeft w:val="0"/>
              <w:marRight w:val="2475"/>
              <w:marTop w:val="0"/>
              <w:marBottom w:val="0"/>
              <w:divBdr>
                <w:top w:val="none" w:sz="0" w:space="0" w:color="auto"/>
                <w:left w:val="none" w:sz="0" w:space="0" w:color="auto"/>
                <w:bottom w:val="none" w:sz="0" w:space="0" w:color="auto"/>
                <w:right w:val="none" w:sz="0" w:space="0" w:color="auto"/>
              </w:divBdr>
              <w:divsChild>
                <w:div w:id="196620491">
                  <w:marLeft w:val="0"/>
                  <w:marRight w:val="0"/>
                  <w:marTop w:val="0"/>
                  <w:marBottom w:val="0"/>
                  <w:divBdr>
                    <w:top w:val="none" w:sz="0" w:space="0" w:color="auto"/>
                    <w:left w:val="none" w:sz="0" w:space="0" w:color="auto"/>
                    <w:bottom w:val="none" w:sz="0" w:space="0" w:color="auto"/>
                    <w:right w:val="none" w:sz="0" w:space="0" w:color="auto"/>
                  </w:divBdr>
                  <w:divsChild>
                    <w:div w:id="791902630">
                      <w:marLeft w:val="0"/>
                      <w:marRight w:val="0"/>
                      <w:marTop w:val="0"/>
                      <w:marBottom w:val="0"/>
                      <w:divBdr>
                        <w:top w:val="none" w:sz="0" w:space="0" w:color="auto"/>
                        <w:left w:val="none" w:sz="0" w:space="0" w:color="auto"/>
                        <w:bottom w:val="none" w:sz="0" w:space="0" w:color="auto"/>
                        <w:right w:val="none" w:sz="0" w:space="0" w:color="auto"/>
                      </w:divBdr>
                      <w:divsChild>
                        <w:div w:id="386883035">
                          <w:marLeft w:val="0"/>
                          <w:marRight w:val="0"/>
                          <w:marTop w:val="0"/>
                          <w:marBottom w:val="0"/>
                          <w:divBdr>
                            <w:top w:val="none" w:sz="0" w:space="0" w:color="auto"/>
                            <w:left w:val="none" w:sz="0" w:space="0" w:color="auto"/>
                            <w:bottom w:val="none" w:sz="0" w:space="0" w:color="auto"/>
                            <w:right w:val="none" w:sz="0" w:space="0" w:color="auto"/>
                          </w:divBdr>
                          <w:divsChild>
                            <w:div w:id="1048263321">
                              <w:marLeft w:val="0"/>
                              <w:marRight w:val="0"/>
                              <w:marTop w:val="0"/>
                              <w:marBottom w:val="0"/>
                              <w:divBdr>
                                <w:top w:val="none" w:sz="0" w:space="0" w:color="auto"/>
                                <w:left w:val="none" w:sz="0" w:space="0" w:color="auto"/>
                                <w:bottom w:val="none" w:sz="0" w:space="0" w:color="auto"/>
                                <w:right w:val="none" w:sz="0" w:space="0" w:color="auto"/>
                              </w:divBdr>
                              <w:divsChild>
                                <w:div w:id="478503981">
                                  <w:marLeft w:val="0"/>
                                  <w:marRight w:val="0"/>
                                  <w:marTop w:val="0"/>
                                  <w:marBottom w:val="0"/>
                                  <w:divBdr>
                                    <w:top w:val="none" w:sz="0" w:space="0" w:color="auto"/>
                                    <w:left w:val="none" w:sz="0" w:space="0" w:color="auto"/>
                                    <w:bottom w:val="none" w:sz="0" w:space="0" w:color="auto"/>
                                    <w:right w:val="none" w:sz="0" w:space="0" w:color="auto"/>
                                  </w:divBdr>
                                  <w:divsChild>
                                    <w:div w:id="653723203">
                                      <w:marLeft w:val="0"/>
                                      <w:marRight w:val="0"/>
                                      <w:marTop w:val="0"/>
                                      <w:marBottom w:val="0"/>
                                      <w:divBdr>
                                        <w:top w:val="none" w:sz="0" w:space="0" w:color="auto"/>
                                        <w:left w:val="none" w:sz="0" w:space="0" w:color="auto"/>
                                        <w:bottom w:val="none" w:sz="0" w:space="0" w:color="auto"/>
                                        <w:right w:val="none" w:sz="0" w:space="0" w:color="auto"/>
                                      </w:divBdr>
                                    </w:div>
                                    <w:div w:id="818153042">
                                      <w:marLeft w:val="0"/>
                                      <w:marRight w:val="0"/>
                                      <w:marTop w:val="0"/>
                                      <w:marBottom w:val="0"/>
                                      <w:divBdr>
                                        <w:top w:val="none" w:sz="0" w:space="0" w:color="auto"/>
                                        <w:left w:val="none" w:sz="0" w:space="0" w:color="auto"/>
                                        <w:bottom w:val="none" w:sz="0" w:space="0" w:color="auto"/>
                                        <w:right w:val="none" w:sz="0" w:space="0" w:color="auto"/>
                                      </w:divBdr>
                                    </w:div>
                                    <w:div w:id="1196233006">
                                      <w:marLeft w:val="0"/>
                                      <w:marRight w:val="0"/>
                                      <w:marTop w:val="0"/>
                                      <w:marBottom w:val="0"/>
                                      <w:divBdr>
                                        <w:top w:val="none" w:sz="0" w:space="0" w:color="auto"/>
                                        <w:left w:val="none" w:sz="0" w:space="0" w:color="auto"/>
                                        <w:bottom w:val="none" w:sz="0" w:space="0" w:color="auto"/>
                                        <w:right w:val="none" w:sz="0" w:space="0" w:color="auto"/>
                                      </w:divBdr>
                                    </w:div>
                                    <w:div w:id="20921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8112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50">
          <w:marLeft w:val="0"/>
          <w:marRight w:val="0"/>
          <w:marTop w:val="0"/>
          <w:marBottom w:val="0"/>
          <w:divBdr>
            <w:top w:val="none" w:sz="0" w:space="0" w:color="auto"/>
            <w:left w:val="none" w:sz="0" w:space="0" w:color="auto"/>
            <w:bottom w:val="none" w:sz="0" w:space="0" w:color="auto"/>
            <w:right w:val="none" w:sz="0" w:space="0" w:color="auto"/>
          </w:divBdr>
          <w:divsChild>
            <w:div w:id="719405750">
              <w:marLeft w:val="0"/>
              <w:marRight w:val="0"/>
              <w:marTop w:val="0"/>
              <w:marBottom w:val="0"/>
              <w:divBdr>
                <w:top w:val="none" w:sz="0" w:space="0" w:color="auto"/>
                <w:left w:val="none" w:sz="0" w:space="0" w:color="auto"/>
                <w:bottom w:val="none" w:sz="0" w:space="0" w:color="auto"/>
                <w:right w:val="none" w:sz="0" w:space="0" w:color="auto"/>
              </w:divBdr>
              <w:divsChild>
                <w:div w:id="172190435">
                  <w:marLeft w:val="0"/>
                  <w:marRight w:val="0"/>
                  <w:marTop w:val="0"/>
                  <w:marBottom w:val="0"/>
                  <w:divBdr>
                    <w:top w:val="none" w:sz="0" w:space="0" w:color="auto"/>
                    <w:left w:val="none" w:sz="0" w:space="0" w:color="auto"/>
                    <w:bottom w:val="none" w:sz="0" w:space="0" w:color="auto"/>
                    <w:right w:val="none" w:sz="0" w:space="0" w:color="auto"/>
                  </w:divBdr>
                  <w:divsChild>
                    <w:div w:id="442192348">
                      <w:marLeft w:val="0"/>
                      <w:marRight w:val="0"/>
                      <w:marTop w:val="0"/>
                      <w:marBottom w:val="0"/>
                      <w:divBdr>
                        <w:top w:val="none" w:sz="0" w:space="0" w:color="auto"/>
                        <w:left w:val="none" w:sz="0" w:space="0" w:color="auto"/>
                        <w:bottom w:val="none" w:sz="0" w:space="0" w:color="auto"/>
                        <w:right w:val="none" w:sz="0" w:space="0" w:color="auto"/>
                      </w:divBdr>
                      <w:divsChild>
                        <w:div w:id="1483421654">
                          <w:marLeft w:val="0"/>
                          <w:marRight w:val="-14400"/>
                          <w:marTop w:val="0"/>
                          <w:marBottom w:val="0"/>
                          <w:divBdr>
                            <w:top w:val="none" w:sz="0" w:space="0" w:color="auto"/>
                            <w:left w:val="none" w:sz="0" w:space="0" w:color="auto"/>
                            <w:bottom w:val="none" w:sz="0" w:space="0" w:color="auto"/>
                            <w:right w:val="none" w:sz="0" w:space="0" w:color="auto"/>
                          </w:divBdr>
                          <w:divsChild>
                            <w:div w:id="783036842">
                              <w:marLeft w:val="0"/>
                              <w:marRight w:val="0"/>
                              <w:marTop w:val="0"/>
                              <w:marBottom w:val="0"/>
                              <w:divBdr>
                                <w:top w:val="none" w:sz="0" w:space="0" w:color="auto"/>
                                <w:left w:val="none" w:sz="0" w:space="0" w:color="auto"/>
                                <w:bottom w:val="none" w:sz="0" w:space="0" w:color="auto"/>
                                <w:right w:val="none" w:sz="0" w:space="0" w:color="auto"/>
                              </w:divBdr>
                              <w:divsChild>
                                <w:div w:id="1742098922">
                                  <w:marLeft w:val="0"/>
                                  <w:marRight w:val="0"/>
                                  <w:marTop w:val="0"/>
                                  <w:marBottom w:val="0"/>
                                  <w:divBdr>
                                    <w:top w:val="none" w:sz="0" w:space="0" w:color="auto"/>
                                    <w:left w:val="none" w:sz="0" w:space="0" w:color="auto"/>
                                    <w:bottom w:val="none" w:sz="0" w:space="0" w:color="auto"/>
                                    <w:right w:val="none" w:sz="0" w:space="0" w:color="auto"/>
                                  </w:divBdr>
                                  <w:divsChild>
                                    <w:div w:id="837114962">
                                      <w:marLeft w:val="0"/>
                                      <w:marRight w:val="0"/>
                                      <w:marTop w:val="0"/>
                                      <w:marBottom w:val="0"/>
                                      <w:divBdr>
                                        <w:top w:val="none" w:sz="0" w:space="0" w:color="auto"/>
                                        <w:left w:val="none" w:sz="0" w:space="0" w:color="auto"/>
                                        <w:bottom w:val="none" w:sz="0" w:space="0" w:color="auto"/>
                                        <w:right w:val="none" w:sz="0" w:space="0" w:color="auto"/>
                                      </w:divBdr>
                                      <w:divsChild>
                                        <w:div w:id="409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5565">
      <w:bodyDiv w:val="1"/>
      <w:marLeft w:val="0"/>
      <w:marRight w:val="0"/>
      <w:marTop w:val="0"/>
      <w:marBottom w:val="0"/>
      <w:divBdr>
        <w:top w:val="none" w:sz="0" w:space="0" w:color="auto"/>
        <w:left w:val="none" w:sz="0" w:space="0" w:color="auto"/>
        <w:bottom w:val="none" w:sz="0" w:space="0" w:color="auto"/>
        <w:right w:val="none" w:sz="0" w:space="0" w:color="auto"/>
      </w:divBdr>
    </w:div>
    <w:div w:id="970791139">
      <w:bodyDiv w:val="1"/>
      <w:marLeft w:val="0"/>
      <w:marRight w:val="0"/>
      <w:marTop w:val="0"/>
      <w:marBottom w:val="0"/>
      <w:divBdr>
        <w:top w:val="none" w:sz="0" w:space="0" w:color="auto"/>
        <w:left w:val="none" w:sz="0" w:space="0" w:color="auto"/>
        <w:bottom w:val="none" w:sz="0" w:space="0" w:color="auto"/>
        <w:right w:val="none" w:sz="0" w:space="0" w:color="auto"/>
      </w:divBdr>
    </w:div>
    <w:div w:id="1099443957">
      <w:bodyDiv w:val="1"/>
      <w:marLeft w:val="0"/>
      <w:marRight w:val="0"/>
      <w:marTop w:val="0"/>
      <w:marBottom w:val="0"/>
      <w:divBdr>
        <w:top w:val="none" w:sz="0" w:space="0" w:color="auto"/>
        <w:left w:val="none" w:sz="0" w:space="0" w:color="auto"/>
        <w:bottom w:val="none" w:sz="0" w:space="0" w:color="auto"/>
        <w:right w:val="none" w:sz="0" w:space="0" w:color="auto"/>
      </w:divBdr>
    </w:div>
    <w:div w:id="1119180747">
      <w:bodyDiv w:val="1"/>
      <w:marLeft w:val="0"/>
      <w:marRight w:val="0"/>
      <w:marTop w:val="0"/>
      <w:marBottom w:val="0"/>
      <w:divBdr>
        <w:top w:val="none" w:sz="0" w:space="0" w:color="auto"/>
        <w:left w:val="none" w:sz="0" w:space="0" w:color="auto"/>
        <w:bottom w:val="none" w:sz="0" w:space="0" w:color="auto"/>
        <w:right w:val="none" w:sz="0" w:space="0" w:color="auto"/>
      </w:divBdr>
      <w:divsChild>
        <w:div w:id="1196650629">
          <w:marLeft w:val="0"/>
          <w:marRight w:val="0"/>
          <w:marTop w:val="0"/>
          <w:marBottom w:val="0"/>
          <w:divBdr>
            <w:top w:val="none" w:sz="0" w:space="0" w:color="auto"/>
            <w:left w:val="none" w:sz="0" w:space="0" w:color="auto"/>
            <w:bottom w:val="none" w:sz="0" w:space="0" w:color="auto"/>
            <w:right w:val="none" w:sz="0" w:space="0" w:color="auto"/>
          </w:divBdr>
          <w:divsChild>
            <w:div w:id="7002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329">
      <w:bodyDiv w:val="1"/>
      <w:marLeft w:val="0"/>
      <w:marRight w:val="0"/>
      <w:marTop w:val="0"/>
      <w:marBottom w:val="0"/>
      <w:divBdr>
        <w:top w:val="none" w:sz="0" w:space="0" w:color="auto"/>
        <w:left w:val="none" w:sz="0" w:space="0" w:color="auto"/>
        <w:bottom w:val="none" w:sz="0" w:space="0" w:color="auto"/>
        <w:right w:val="none" w:sz="0" w:space="0" w:color="auto"/>
      </w:divBdr>
    </w:div>
    <w:div w:id="1341813055">
      <w:bodyDiv w:val="1"/>
      <w:marLeft w:val="0"/>
      <w:marRight w:val="0"/>
      <w:marTop w:val="0"/>
      <w:marBottom w:val="0"/>
      <w:divBdr>
        <w:top w:val="none" w:sz="0" w:space="0" w:color="auto"/>
        <w:left w:val="none" w:sz="0" w:space="0" w:color="auto"/>
        <w:bottom w:val="none" w:sz="0" w:space="0" w:color="auto"/>
        <w:right w:val="none" w:sz="0" w:space="0" w:color="auto"/>
      </w:divBdr>
    </w:div>
    <w:div w:id="1619483268">
      <w:bodyDiv w:val="1"/>
      <w:marLeft w:val="0"/>
      <w:marRight w:val="0"/>
      <w:marTop w:val="0"/>
      <w:marBottom w:val="0"/>
      <w:divBdr>
        <w:top w:val="none" w:sz="0" w:space="0" w:color="auto"/>
        <w:left w:val="none" w:sz="0" w:space="0" w:color="auto"/>
        <w:bottom w:val="none" w:sz="0" w:space="0" w:color="auto"/>
        <w:right w:val="none" w:sz="0" w:space="0" w:color="auto"/>
      </w:divBdr>
    </w:div>
    <w:div w:id="1716810501">
      <w:bodyDiv w:val="1"/>
      <w:marLeft w:val="0"/>
      <w:marRight w:val="0"/>
      <w:marTop w:val="0"/>
      <w:marBottom w:val="0"/>
      <w:divBdr>
        <w:top w:val="none" w:sz="0" w:space="0" w:color="auto"/>
        <w:left w:val="none" w:sz="0" w:space="0" w:color="auto"/>
        <w:bottom w:val="none" w:sz="0" w:space="0" w:color="auto"/>
        <w:right w:val="none" w:sz="0" w:space="0" w:color="auto"/>
      </w:divBdr>
    </w:div>
    <w:div w:id="1786803436">
      <w:bodyDiv w:val="1"/>
      <w:marLeft w:val="0"/>
      <w:marRight w:val="0"/>
      <w:marTop w:val="0"/>
      <w:marBottom w:val="0"/>
      <w:divBdr>
        <w:top w:val="none" w:sz="0" w:space="0" w:color="auto"/>
        <w:left w:val="none" w:sz="0" w:space="0" w:color="auto"/>
        <w:bottom w:val="none" w:sz="0" w:space="0" w:color="auto"/>
        <w:right w:val="none" w:sz="0" w:space="0" w:color="auto"/>
      </w:divBdr>
    </w:div>
    <w:div w:id="1787236794">
      <w:bodyDiv w:val="1"/>
      <w:marLeft w:val="0"/>
      <w:marRight w:val="0"/>
      <w:marTop w:val="0"/>
      <w:marBottom w:val="0"/>
      <w:divBdr>
        <w:top w:val="none" w:sz="0" w:space="0" w:color="auto"/>
        <w:left w:val="none" w:sz="0" w:space="0" w:color="auto"/>
        <w:bottom w:val="none" w:sz="0" w:space="0" w:color="auto"/>
        <w:right w:val="none" w:sz="0" w:space="0" w:color="auto"/>
      </w:divBdr>
    </w:div>
    <w:div w:id="1795051712">
      <w:bodyDiv w:val="1"/>
      <w:marLeft w:val="0"/>
      <w:marRight w:val="0"/>
      <w:marTop w:val="0"/>
      <w:marBottom w:val="0"/>
      <w:divBdr>
        <w:top w:val="none" w:sz="0" w:space="0" w:color="auto"/>
        <w:left w:val="none" w:sz="0" w:space="0" w:color="auto"/>
        <w:bottom w:val="none" w:sz="0" w:space="0" w:color="auto"/>
        <w:right w:val="none" w:sz="0" w:space="0" w:color="auto"/>
      </w:divBdr>
    </w:div>
    <w:div w:id="1921599707">
      <w:bodyDiv w:val="1"/>
      <w:marLeft w:val="0"/>
      <w:marRight w:val="0"/>
      <w:marTop w:val="0"/>
      <w:marBottom w:val="0"/>
      <w:divBdr>
        <w:top w:val="none" w:sz="0" w:space="0" w:color="auto"/>
        <w:left w:val="none" w:sz="0" w:space="0" w:color="auto"/>
        <w:bottom w:val="none" w:sz="0" w:space="0" w:color="auto"/>
        <w:right w:val="none" w:sz="0" w:space="0" w:color="auto"/>
      </w:divBdr>
    </w:div>
    <w:div w:id="1969162485">
      <w:bodyDiv w:val="1"/>
      <w:marLeft w:val="0"/>
      <w:marRight w:val="0"/>
      <w:marTop w:val="0"/>
      <w:marBottom w:val="0"/>
      <w:divBdr>
        <w:top w:val="none" w:sz="0" w:space="0" w:color="auto"/>
        <w:left w:val="none" w:sz="0" w:space="0" w:color="auto"/>
        <w:bottom w:val="none" w:sz="0" w:space="0" w:color="auto"/>
        <w:right w:val="none" w:sz="0" w:space="0" w:color="auto"/>
      </w:divBdr>
    </w:div>
    <w:div w:id="1973052655">
      <w:bodyDiv w:val="1"/>
      <w:marLeft w:val="0"/>
      <w:marRight w:val="0"/>
      <w:marTop w:val="0"/>
      <w:marBottom w:val="0"/>
      <w:divBdr>
        <w:top w:val="none" w:sz="0" w:space="0" w:color="auto"/>
        <w:left w:val="none" w:sz="0" w:space="0" w:color="auto"/>
        <w:bottom w:val="none" w:sz="0" w:space="0" w:color="auto"/>
        <w:right w:val="none" w:sz="0" w:space="0" w:color="auto"/>
      </w:divBdr>
    </w:div>
    <w:div w:id="2040888698">
      <w:bodyDiv w:val="1"/>
      <w:marLeft w:val="0"/>
      <w:marRight w:val="0"/>
      <w:marTop w:val="0"/>
      <w:marBottom w:val="0"/>
      <w:divBdr>
        <w:top w:val="none" w:sz="0" w:space="0" w:color="auto"/>
        <w:left w:val="none" w:sz="0" w:space="0" w:color="auto"/>
        <w:bottom w:val="none" w:sz="0" w:space="0" w:color="auto"/>
        <w:right w:val="none" w:sz="0" w:space="0" w:color="auto"/>
      </w:divBdr>
    </w:div>
    <w:div w:id="2124879193">
      <w:bodyDiv w:val="1"/>
      <w:marLeft w:val="0"/>
      <w:marRight w:val="0"/>
      <w:marTop w:val="0"/>
      <w:marBottom w:val="0"/>
      <w:divBdr>
        <w:top w:val="none" w:sz="0" w:space="0" w:color="auto"/>
        <w:left w:val="none" w:sz="0" w:space="0" w:color="auto"/>
        <w:bottom w:val="none" w:sz="0" w:space="0" w:color="auto"/>
        <w:right w:val="none" w:sz="0" w:space="0" w:color="auto"/>
      </w:divBdr>
    </w:div>
    <w:div w:id="21372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08847/Mental_Health_and_Behaviour_-_advice_for_Schools_16031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08847/Mental_Health_and_Behaviour_-_advice_for_Schools_1603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08847/Mental_Health_and_Behaviour_-_advice_for_Schools_160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1F517371E9E46A45F708043690AB1" ma:contentTypeVersion="0" ma:contentTypeDescription="Create a new document." ma:contentTypeScope="" ma:versionID="ef9db39941ff05800fdc71dd2dd996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6CFA-798C-478E-B1CA-89EFAC5DF74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6F9771C7-FC90-4B7B-A9AF-B37CAE4B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6210BE-7DEB-45E7-ABDA-58E01FBB0F68}">
  <ds:schemaRefs>
    <ds:schemaRef ds:uri="http://schemas.microsoft.com/sharepoint/v3/contenttype/forms"/>
  </ds:schemaRefs>
</ds:datastoreItem>
</file>

<file path=customXml/itemProps4.xml><?xml version="1.0" encoding="utf-8"?>
<ds:datastoreItem xmlns:ds="http://schemas.openxmlformats.org/officeDocument/2006/customXml" ds:itemID="{804BE22D-1A7F-43BD-B121-9A09B13C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9</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Neil Houchen</cp:lastModifiedBy>
  <cp:revision>17</cp:revision>
  <cp:lastPrinted>2016-06-28T09:04:00Z</cp:lastPrinted>
  <dcterms:created xsi:type="dcterms:W3CDTF">2016-06-15T11:54:00Z</dcterms:created>
  <dcterms:modified xsi:type="dcterms:W3CDTF">2017-05-12T12:25:00Z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0x0101006A81F517371E9E46A45F708043690AB1</vt:lpwstr>
  </property>
</Properties>
</file>