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E4" w:rsidRDefault="000558E4" w:rsidP="00B614EE">
      <w:pPr>
        <w:pStyle w:val="NoSpacing"/>
      </w:pPr>
    </w:p>
    <w:p w:rsidR="00B614EE" w:rsidRDefault="00B614EE" w:rsidP="00B614EE">
      <w:pPr>
        <w:pStyle w:val="NoSpacing"/>
      </w:pPr>
    </w:p>
    <w:p w:rsidR="00B614EE" w:rsidRDefault="00B614EE" w:rsidP="00B614EE">
      <w:pPr>
        <w:pStyle w:val="NoSpacing"/>
      </w:pPr>
    </w:p>
    <w:p w:rsidR="00B614EE" w:rsidRDefault="00B614EE" w:rsidP="00B614EE">
      <w:pPr>
        <w:pStyle w:val="NoSpacing"/>
      </w:pPr>
    </w:p>
    <w:p w:rsidR="00B614EE" w:rsidRDefault="00B614EE" w:rsidP="00B614EE">
      <w:pPr>
        <w:pStyle w:val="NoSpacing"/>
      </w:pPr>
    </w:p>
    <w:p w:rsidR="00BD7417" w:rsidRDefault="00BD7417" w:rsidP="00B614EE">
      <w:pPr>
        <w:pStyle w:val="NoSpacing"/>
      </w:pPr>
    </w:p>
    <w:p w:rsidR="00BD7417" w:rsidRDefault="00BD7417" w:rsidP="00B614EE">
      <w:pPr>
        <w:pStyle w:val="NoSpacing"/>
      </w:pPr>
    </w:p>
    <w:p w:rsidR="00033C82" w:rsidRDefault="00033C82" w:rsidP="000558E4">
      <w:pPr>
        <w:jc w:val="center"/>
        <w:rPr>
          <w:rFonts w:ascii="Calibri" w:hAnsi="Calibri" w:cs="Arial"/>
          <w:sz w:val="72"/>
        </w:rPr>
      </w:pPr>
    </w:p>
    <w:p w:rsidR="000558E4" w:rsidRDefault="000558E4" w:rsidP="000558E4">
      <w:pPr>
        <w:jc w:val="center"/>
        <w:rPr>
          <w:rFonts w:ascii="Calibri" w:hAnsi="Calibri" w:cs="Arial"/>
          <w:sz w:val="72"/>
        </w:rPr>
      </w:pPr>
    </w:p>
    <w:p w:rsidR="00F12A8F" w:rsidRPr="00BD7417" w:rsidRDefault="00086F5E" w:rsidP="00BD7417">
      <w:pPr>
        <w:jc w:val="center"/>
        <w:rPr>
          <w:rFonts w:ascii="Calibri" w:hAnsi="Calibri"/>
          <w:sz w:val="72"/>
        </w:rPr>
      </w:pPr>
      <w:r>
        <w:rPr>
          <w:rFonts w:ascii="Calibri" w:hAnsi="Calibri" w:cs="Arial"/>
          <w:sz w:val="72"/>
        </w:rPr>
        <w:t>SEND</w:t>
      </w:r>
      <w:r w:rsidR="001D390C">
        <w:rPr>
          <w:rFonts w:ascii="Calibri" w:hAnsi="Calibri" w:cs="Arial"/>
          <w:sz w:val="72"/>
        </w:rPr>
        <w:t xml:space="preserve"> </w:t>
      </w:r>
      <w:r w:rsidR="006F73E9">
        <w:rPr>
          <w:rFonts w:ascii="Calibri" w:hAnsi="Calibri" w:cs="Arial"/>
          <w:sz w:val="72"/>
        </w:rPr>
        <w:t>Policy</w:t>
      </w:r>
    </w:p>
    <w:p w:rsidR="00F12A8F" w:rsidRDefault="00F12A8F">
      <w:pPr>
        <w:pStyle w:val="NoSpacing"/>
      </w:pPr>
    </w:p>
    <w:p w:rsidR="00F12A8F" w:rsidRDefault="00B614EE" w:rsidP="00BD7417">
      <w:pPr>
        <w:jc w:val="center"/>
        <w:rPr>
          <w:rFonts w:ascii="Calibri" w:hAnsi="Calibri" w:cs="Arial"/>
          <w:sz w:val="28"/>
          <w:szCs w:val="28"/>
        </w:rPr>
      </w:pPr>
      <w:r w:rsidRPr="00F53CC8">
        <w:rPr>
          <w:rFonts w:cs="Arial"/>
          <w:noProof/>
          <w:sz w:val="28"/>
          <w:szCs w:val="28"/>
          <w:lang w:eastAsia="en-GB"/>
        </w:rPr>
        <w:drawing>
          <wp:inline distT="0" distB="0" distL="0" distR="0" wp14:anchorId="510C95EF" wp14:editId="6AE0C225">
            <wp:extent cx="3103245" cy="1586230"/>
            <wp:effectExtent l="0" t="0" r="1905" b="0"/>
            <wp:docPr id="3" name="Picture 3" descr="\\eastwood7\Clients\NHouchen\My Pictures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astwood7\Clients\NHouchen\My Pictures\New 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A8F" w:rsidRDefault="00F12A8F">
      <w:pPr>
        <w:jc w:val="center"/>
        <w:rPr>
          <w:rFonts w:ascii="Calibri" w:hAnsi="Calibri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12A8F">
        <w:trPr>
          <w:jc w:val="center"/>
        </w:trPr>
        <w:tc>
          <w:tcPr>
            <w:tcW w:w="4428" w:type="dxa"/>
            <w:shd w:val="clear" w:color="auto" w:fill="auto"/>
          </w:tcPr>
          <w:p w:rsidR="00F12A8F" w:rsidRPr="002239AF" w:rsidRDefault="006F73E9">
            <w:pPr>
              <w:rPr>
                <w:rFonts w:ascii="Calibri" w:hAnsi="Calibri" w:cs="Arial"/>
              </w:rPr>
            </w:pPr>
            <w:r w:rsidRPr="002239AF">
              <w:rPr>
                <w:rFonts w:ascii="Calibri" w:hAnsi="Calibri" w:cs="Arial"/>
              </w:rPr>
              <w:t xml:space="preserve">Author’s Name: </w:t>
            </w:r>
          </w:p>
        </w:tc>
        <w:tc>
          <w:tcPr>
            <w:tcW w:w="4428" w:type="dxa"/>
            <w:shd w:val="clear" w:color="auto" w:fill="auto"/>
          </w:tcPr>
          <w:p w:rsidR="00F12A8F" w:rsidRPr="002239AF" w:rsidRDefault="00D92480" w:rsidP="00EA2216">
            <w:pPr>
              <w:rPr>
                <w:rFonts w:ascii="Calibri" w:hAnsi="Calibri" w:cs="Arial"/>
              </w:rPr>
            </w:pPr>
            <w:r w:rsidRPr="002239AF">
              <w:rPr>
                <w:rFonts w:ascii="Calibri" w:hAnsi="Calibri" w:cs="Arial"/>
              </w:rPr>
              <w:t xml:space="preserve">Mr. </w:t>
            </w:r>
            <w:r w:rsidR="00EA2216" w:rsidRPr="002239AF">
              <w:rPr>
                <w:rFonts w:ascii="Calibri" w:hAnsi="Calibri" w:cs="Arial"/>
              </w:rPr>
              <w:t>N. Houchen</w:t>
            </w:r>
          </w:p>
        </w:tc>
      </w:tr>
      <w:tr w:rsidR="00F12A8F">
        <w:trPr>
          <w:jc w:val="center"/>
        </w:trPr>
        <w:tc>
          <w:tcPr>
            <w:tcW w:w="4428" w:type="dxa"/>
            <w:shd w:val="clear" w:color="auto" w:fill="auto"/>
          </w:tcPr>
          <w:p w:rsidR="00F12A8F" w:rsidRPr="002239AF" w:rsidRDefault="006F73E9">
            <w:pPr>
              <w:rPr>
                <w:rFonts w:ascii="Calibri" w:hAnsi="Calibri" w:cs="Arial"/>
              </w:rPr>
            </w:pPr>
            <w:r w:rsidRPr="002239AF">
              <w:rPr>
                <w:rFonts w:ascii="Calibri" w:hAnsi="Calibri" w:cs="Arial"/>
              </w:rPr>
              <w:t>Date Reviewed</w:t>
            </w:r>
          </w:p>
        </w:tc>
        <w:tc>
          <w:tcPr>
            <w:tcW w:w="4428" w:type="dxa"/>
            <w:shd w:val="clear" w:color="auto" w:fill="auto"/>
          </w:tcPr>
          <w:p w:rsidR="00F12A8F" w:rsidRPr="002239AF" w:rsidRDefault="00BD741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June 2017</w:t>
            </w:r>
          </w:p>
        </w:tc>
      </w:tr>
      <w:tr w:rsidR="00F12A8F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F12A8F" w:rsidRPr="002239AF" w:rsidRDefault="006F73E9">
            <w:pPr>
              <w:rPr>
                <w:rFonts w:ascii="Calibri" w:hAnsi="Calibri" w:cs="Arial"/>
              </w:rPr>
            </w:pPr>
            <w:r w:rsidRPr="002239AF">
              <w:rPr>
                <w:rFonts w:ascii="Calibri" w:hAnsi="Calibri" w:cs="Arial"/>
              </w:rPr>
              <w:t>Date Ratified by Governing Body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F12A8F" w:rsidRPr="002239AF" w:rsidRDefault="00F12A8F">
            <w:pPr>
              <w:rPr>
                <w:rFonts w:ascii="Calibri" w:hAnsi="Calibri" w:cs="Arial"/>
              </w:rPr>
            </w:pPr>
          </w:p>
        </w:tc>
      </w:tr>
      <w:tr w:rsidR="00F12A8F">
        <w:trPr>
          <w:jc w:val="center"/>
        </w:trPr>
        <w:tc>
          <w:tcPr>
            <w:tcW w:w="4428" w:type="dxa"/>
            <w:shd w:val="pct12" w:color="auto" w:fill="auto"/>
          </w:tcPr>
          <w:p w:rsidR="00F12A8F" w:rsidRPr="002239AF" w:rsidRDefault="00F12A8F">
            <w:pPr>
              <w:rPr>
                <w:rFonts w:ascii="Calibri" w:hAnsi="Calibri" w:cs="Arial"/>
              </w:rPr>
            </w:pPr>
          </w:p>
        </w:tc>
        <w:tc>
          <w:tcPr>
            <w:tcW w:w="4428" w:type="dxa"/>
            <w:shd w:val="pct12" w:color="auto" w:fill="auto"/>
          </w:tcPr>
          <w:p w:rsidR="00F12A8F" w:rsidRPr="002239AF" w:rsidRDefault="00F12A8F">
            <w:pPr>
              <w:rPr>
                <w:rFonts w:ascii="Calibri" w:hAnsi="Calibri" w:cs="Arial"/>
              </w:rPr>
            </w:pPr>
          </w:p>
        </w:tc>
      </w:tr>
      <w:tr w:rsidR="00F12A8F">
        <w:trPr>
          <w:jc w:val="center"/>
        </w:trPr>
        <w:tc>
          <w:tcPr>
            <w:tcW w:w="4428" w:type="dxa"/>
            <w:shd w:val="clear" w:color="auto" w:fill="auto"/>
          </w:tcPr>
          <w:p w:rsidR="00F12A8F" w:rsidRPr="002239AF" w:rsidRDefault="006F73E9">
            <w:pPr>
              <w:rPr>
                <w:rFonts w:ascii="Calibri" w:hAnsi="Calibri" w:cs="Arial"/>
              </w:rPr>
            </w:pPr>
            <w:r w:rsidRPr="002239AF">
              <w:rPr>
                <w:rFonts w:ascii="Calibri" w:hAnsi="Calibri" w:cs="Arial"/>
              </w:rPr>
              <w:t>Signature of Principal</w:t>
            </w:r>
          </w:p>
        </w:tc>
        <w:tc>
          <w:tcPr>
            <w:tcW w:w="4428" w:type="dxa"/>
            <w:shd w:val="clear" w:color="auto" w:fill="auto"/>
          </w:tcPr>
          <w:p w:rsidR="00F12A8F" w:rsidRPr="002239AF" w:rsidRDefault="00F12A8F">
            <w:pPr>
              <w:rPr>
                <w:rFonts w:ascii="Calibri" w:hAnsi="Calibri" w:cs="Arial"/>
              </w:rPr>
            </w:pPr>
          </w:p>
        </w:tc>
      </w:tr>
      <w:tr w:rsidR="00F12A8F">
        <w:trPr>
          <w:jc w:val="center"/>
        </w:trPr>
        <w:tc>
          <w:tcPr>
            <w:tcW w:w="4428" w:type="dxa"/>
            <w:shd w:val="clear" w:color="auto" w:fill="auto"/>
          </w:tcPr>
          <w:p w:rsidR="00F12A8F" w:rsidRPr="002239AF" w:rsidRDefault="006F73E9">
            <w:pPr>
              <w:rPr>
                <w:rFonts w:ascii="Calibri" w:hAnsi="Calibri" w:cs="Arial"/>
              </w:rPr>
            </w:pPr>
            <w:r w:rsidRPr="002239AF">
              <w:rPr>
                <w:rFonts w:ascii="Calibri" w:hAnsi="Calibri" w:cs="Arial"/>
              </w:rPr>
              <w:t>Signature of Chair of Governors</w:t>
            </w:r>
          </w:p>
        </w:tc>
        <w:tc>
          <w:tcPr>
            <w:tcW w:w="4428" w:type="dxa"/>
            <w:shd w:val="clear" w:color="auto" w:fill="auto"/>
          </w:tcPr>
          <w:p w:rsidR="00F12A8F" w:rsidRPr="002239AF" w:rsidRDefault="00F12A8F">
            <w:pPr>
              <w:rPr>
                <w:rFonts w:ascii="Calibri" w:hAnsi="Calibri" w:cs="Arial"/>
              </w:rPr>
            </w:pPr>
          </w:p>
        </w:tc>
      </w:tr>
    </w:tbl>
    <w:p w:rsidR="00F12A8F" w:rsidRDefault="00F12A8F">
      <w:pPr>
        <w:jc w:val="center"/>
        <w:rPr>
          <w:rFonts w:ascii="Calibri" w:hAnsi="Calibri" w:cs="Arial"/>
        </w:rPr>
      </w:pPr>
    </w:p>
    <w:p w:rsidR="00F12A8F" w:rsidRDefault="00F12A8F">
      <w:pPr>
        <w:jc w:val="center"/>
        <w:rPr>
          <w:rFonts w:ascii="Calibri" w:hAnsi="Calibri" w:cs="Arial"/>
        </w:rPr>
      </w:pPr>
    </w:p>
    <w:p w:rsidR="00F12A8F" w:rsidRDefault="00F12A8F">
      <w:pPr>
        <w:jc w:val="both"/>
        <w:rPr>
          <w:rFonts w:ascii="Arial" w:hAnsi="Arial" w:cs="Arial"/>
          <w:sz w:val="24"/>
          <w:szCs w:val="24"/>
        </w:rPr>
      </w:pPr>
    </w:p>
    <w:p w:rsidR="00F12A8F" w:rsidRDefault="00F12A8F">
      <w:pPr>
        <w:jc w:val="both"/>
        <w:rPr>
          <w:rFonts w:ascii="Arial" w:hAnsi="Arial" w:cs="Arial"/>
          <w:sz w:val="24"/>
          <w:szCs w:val="24"/>
        </w:rPr>
      </w:pPr>
    </w:p>
    <w:p w:rsidR="00F12A8F" w:rsidRDefault="00F12A8F">
      <w:pPr>
        <w:jc w:val="both"/>
        <w:rPr>
          <w:rFonts w:ascii="Arial" w:hAnsi="Arial" w:cs="Arial"/>
          <w:sz w:val="24"/>
          <w:szCs w:val="24"/>
        </w:rPr>
      </w:pPr>
    </w:p>
    <w:p w:rsidR="00F12A8F" w:rsidRDefault="00F12A8F">
      <w:pPr>
        <w:jc w:val="both"/>
        <w:rPr>
          <w:rFonts w:ascii="Arial" w:hAnsi="Arial" w:cs="Arial"/>
          <w:sz w:val="24"/>
          <w:szCs w:val="24"/>
        </w:rPr>
      </w:pPr>
    </w:p>
    <w:p w:rsidR="00F12A8F" w:rsidRDefault="006F73E9">
      <w:pPr>
        <w:jc w:val="both"/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id w:val="-64820283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F12A8F" w:rsidRPr="00B614EE" w:rsidRDefault="006F73E9">
          <w:pPr>
            <w:pStyle w:val="TOCHeading"/>
            <w:jc w:val="center"/>
            <w:rPr>
              <w:rFonts w:asciiTheme="minorHAnsi" w:hAnsiTheme="minorHAnsi" w:cstheme="minorHAnsi"/>
              <w:color w:val="auto"/>
            </w:rPr>
          </w:pPr>
          <w:r w:rsidRPr="00B614EE">
            <w:rPr>
              <w:rFonts w:asciiTheme="minorHAnsi" w:hAnsiTheme="minorHAnsi" w:cstheme="minorHAnsi"/>
              <w:color w:val="auto"/>
            </w:rPr>
            <w:t>Contents</w:t>
          </w:r>
        </w:p>
        <w:p w:rsidR="000136AF" w:rsidRDefault="006F73E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2355066" w:history="1">
            <w:r w:rsidR="000136AF" w:rsidRPr="00186771">
              <w:rPr>
                <w:rStyle w:val="Hyperlink"/>
                <w:rFonts w:cstheme="minorHAnsi"/>
                <w:noProof/>
              </w:rPr>
              <w:t>1.0 Introduction</w:t>
            </w:r>
            <w:r w:rsidR="000136AF">
              <w:rPr>
                <w:noProof/>
                <w:webHidden/>
              </w:rPr>
              <w:tab/>
            </w:r>
            <w:r w:rsidR="000136AF">
              <w:rPr>
                <w:noProof/>
                <w:webHidden/>
              </w:rPr>
              <w:fldChar w:fldCharType="begin"/>
            </w:r>
            <w:r w:rsidR="000136AF">
              <w:rPr>
                <w:noProof/>
                <w:webHidden/>
              </w:rPr>
              <w:instrText xml:space="preserve"> PAGEREF _Toc482355066 \h </w:instrText>
            </w:r>
            <w:r w:rsidR="000136AF">
              <w:rPr>
                <w:noProof/>
                <w:webHidden/>
              </w:rPr>
            </w:r>
            <w:r w:rsidR="000136AF">
              <w:rPr>
                <w:noProof/>
                <w:webHidden/>
              </w:rPr>
              <w:fldChar w:fldCharType="separate"/>
            </w:r>
            <w:r w:rsidR="000136AF">
              <w:rPr>
                <w:noProof/>
                <w:webHidden/>
              </w:rPr>
              <w:t>3</w:t>
            </w:r>
            <w:r w:rsidR="000136AF">
              <w:rPr>
                <w:noProof/>
                <w:webHidden/>
              </w:rPr>
              <w:fldChar w:fldCharType="end"/>
            </w:r>
          </w:hyperlink>
        </w:p>
        <w:p w:rsidR="000136AF" w:rsidRDefault="000136A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82355067" w:history="1">
            <w:r w:rsidRPr="00186771">
              <w:rPr>
                <w:rStyle w:val="Hyperlink"/>
                <w:rFonts w:cstheme="minorHAnsi"/>
                <w:noProof/>
              </w:rPr>
              <w:t>2.0 Code of Practice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_Toc482355067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6AF" w:rsidRDefault="000136A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82355068" w:history="1">
            <w:r w:rsidRPr="00186771">
              <w:rPr>
                <w:rStyle w:val="Hyperlink"/>
                <w:rFonts w:cstheme="minorHAnsi"/>
                <w:noProof/>
              </w:rPr>
              <w:t>3.0 Staffing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_Toc482355068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6AF" w:rsidRDefault="000136A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82355069" w:history="1">
            <w:r w:rsidRPr="00186771">
              <w:rPr>
                <w:rStyle w:val="Hyperlink"/>
                <w:rFonts w:cstheme="minorHAnsi"/>
                <w:noProof/>
              </w:rPr>
              <w:t>4.0 Admissions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_Toc482355069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6AF" w:rsidRDefault="000136A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82355070" w:history="1">
            <w:r w:rsidRPr="00186771">
              <w:rPr>
                <w:rStyle w:val="Hyperlink"/>
                <w:rFonts w:cstheme="minorHAnsi"/>
                <w:noProof/>
              </w:rPr>
              <w:t>5.0 Entry Assessment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_Toc482355070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6AF" w:rsidRDefault="000136A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82355071" w:history="1">
            <w:r w:rsidRPr="00186771">
              <w:rPr>
                <w:rStyle w:val="Hyperlink"/>
                <w:rFonts w:cstheme="minorHAnsi"/>
                <w:noProof/>
              </w:rPr>
              <w:t>6.0 Equality and Inclusion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_Toc482355071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6AF" w:rsidRDefault="000136A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82355072" w:history="1">
            <w:r w:rsidRPr="00186771">
              <w:rPr>
                <w:rStyle w:val="Hyperlink"/>
                <w:rFonts w:cstheme="minorHAnsi"/>
                <w:noProof/>
              </w:rPr>
              <w:t>7.0 SEND Provision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_Toc482355072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6AF" w:rsidRDefault="000136A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82355073" w:history="1">
            <w:r w:rsidRPr="00186771">
              <w:rPr>
                <w:rStyle w:val="Hyperlink"/>
                <w:rFonts w:cstheme="minorHAnsi"/>
                <w:noProof/>
              </w:rPr>
              <w:t>8.0 SEND Pupils’ Attainment and Progress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_Toc482355073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6AF" w:rsidRDefault="000136A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82355074" w:history="1">
            <w:r w:rsidRPr="00186771">
              <w:rPr>
                <w:rStyle w:val="Hyperlink"/>
                <w:rFonts w:cstheme="minorHAnsi"/>
                <w:noProof/>
              </w:rPr>
              <w:t>9.0 SEND Pupils’ Attendance, Exclusions and Rewards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_Toc482355074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6AF" w:rsidRDefault="000136A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82355075" w:history="1">
            <w:r w:rsidRPr="00186771">
              <w:rPr>
                <w:rStyle w:val="Hyperlink"/>
                <w:rFonts w:cstheme="minorHAnsi"/>
                <w:noProof/>
              </w:rPr>
              <w:t>10.0 Education, Health and Care (EHC) Needs Assessment and Plans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_Toc482355075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6AF" w:rsidRDefault="000136A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82355076" w:history="1">
            <w:r w:rsidRPr="00186771">
              <w:rPr>
                <w:rStyle w:val="Hyperlink"/>
                <w:rFonts w:cstheme="minorHAnsi"/>
                <w:noProof/>
              </w:rPr>
              <w:t>11.0 Mental Health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_Toc482355076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6AF" w:rsidRDefault="000136AF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82355077" w:history="1">
            <w:r w:rsidRPr="00186771">
              <w:rPr>
                <w:rStyle w:val="Hyperlink"/>
                <w:rFonts w:cstheme="minorHAnsi"/>
                <w:noProof/>
              </w:rPr>
              <w:t>12.0 Complaints/Resolving Disagreements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_Toc482355077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12A8F" w:rsidRDefault="006F73E9">
          <w:r>
            <w:rPr>
              <w:b/>
              <w:bCs/>
              <w:noProof/>
            </w:rPr>
            <w:fldChar w:fldCharType="end"/>
          </w:r>
        </w:p>
      </w:sdtContent>
    </w:sdt>
    <w:p w:rsidR="00F12A8F" w:rsidRDefault="00F12A8F">
      <w:pPr>
        <w:pStyle w:val="Heading1"/>
        <w:jc w:val="both"/>
        <w:rPr>
          <w:rFonts w:asciiTheme="minorHAnsi" w:hAnsiTheme="minorHAnsi" w:cstheme="minorHAnsi"/>
          <w:sz w:val="24"/>
          <w:szCs w:val="24"/>
        </w:rPr>
      </w:pPr>
    </w:p>
    <w:p w:rsidR="00F12A8F" w:rsidRDefault="00F12A8F"/>
    <w:p w:rsidR="00F12A8F" w:rsidRDefault="00F12A8F"/>
    <w:p w:rsidR="00F12A8F" w:rsidRDefault="00F12A8F"/>
    <w:p w:rsidR="00F12A8F" w:rsidRDefault="00F12A8F"/>
    <w:p w:rsidR="00F12A8F" w:rsidRDefault="00F12A8F"/>
    <w:p w:rsidR="00F12A8F" w:rsidRDefault="00F12A8F"/>
    <w:p w:rsidR="00F12A8F" w:rsidRDefault="00F12A8F"/>
    <w:p w:rsidR="00F12A8F" w:rsidRDefault="00F12A8F"/>
    <w:p w:rsidR="00F12A8F" w:rsidRDefault="00F12A8F"/>
    <w:p w:rsidR="00F12A8F" w:rsidRDefault="00F12A8F"/>
    <w:p w:rsidR="00F12A8F" w:rsidRDefault="00F12A8F"/>
    <w:p w:rsidR="00F12A8F" w:rsidRDefault="00F12A8F"/>
    <w:p w:rsidR="00F12A8F" w:rsidRDefault="00F12A8F"/>
    <w:p w:rsidR="00F12A8F" w:rsidRDefault="00F12A8F"/>
    <w:p w:rsidR="00F12A8F" w:rsidRDefault="00F12A8F"/>
    <w:p w:rsidR="000E38FD" w:rsidRDefault="000E38FD"/>
    <w:p w:rsidR="000E38FD" w:rsidRDefault="000E38FD"/>
    <w:p w:rsidR="000E38FD" w:rsidRDefault="000E38FD"/>
    <w:p w:rsidR="000E38FD" w:rsidRDefault="000E38FD"/>
    <w:p w:rsidR="000E38FD" w:rsidRDefault="000E38FD"/>
    <w:p w:rsidR="000E38FD" w:rsidRDefault="000E38FD"/>
    <w:p w:rsidR="000E38FD" w:rsidRDefault="000E38FD"/>
    <w:p w:rsidR="000E38FD" w:rsidRDefault="000E38FD"/>
    <w:p w:rsidR="000E38FD" w:rsidRDefault="000E38FD"/>
    <w:p w:rsidR="000E38FD" w:rsidRDefault="000E38FD"/>
    <w:p w:rsidR="000E38FD" w:rsidRDefault="000E38FD"/>
    <w:p w:rsidR="000E38FD" w:rsidRDefault="000E38FD"/>
    <w:p w:rsidR="000E38FD" w:rsidRDefault="000E38FD"/>
    <w:p w:rsidR="00E85663" w:rsidRDefault="00E85663"/>
    <w:p w:rsidR="004208A4" w:rsidRPr="00B614EE" w:rsidRDefault="006F73E9" w:rsidP="004208A4">
      <w:pPr>
        <w:pStyle w:val="Heading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Toc482355066"/>
      <w:r w:rsidRPr="00B614EE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1.0 </w:t>
      </w:r>
      <w:r w:rsidR="00E85663" w:rsidRPr="00B614EE">
        <w:rPr>
          <w:rFonts w:asciiTheme="minorHAnsi" w:hAnsiTheme="minorHAnsi" w:cstheme="minorHAnsi"/>
          <w:color w:val="auto"/>
          <w:sz w:val="24"/>
          <w:szCs w:val="24"/>
        </w:rPr>
        <w:t>Introduction</w:t>
      </w:r>
      <w:bookmarkEnd w:id="0"/>
    </w:p>
    <w:p w:rsidR="005B1D0B" w:rsidRDefault="004208A4" w:rsidP="005B1D0B">
      <w:pPr>
        <w:autoSpaceDE w:val="0"/>
        <w:autoSpaceDN w:val="0"/>
        <w:adjustRightInd w:val="0"/>
        <w:spacing w:before="240" w:after="240"/>
        <w:rPr>
          <w:rFonts w:cs="Arial"/>
        </w:rPr>
      </w:pPr>
      <w:r>
        <w:rPr>
          <w:rFonts w:cs="Arial"/>
        </w:rPr>
        <w:t xml:space="preserve">A </w:t>
      </w:r>
      <w:r w:rsidR="005B4E89">
        <w:rPr>
          <w:rFonts w:cs="Arial"/>
        </w:rPr>
        <w:t>pupil</w:t>
      </w:r>
      <w:r w:rsidR="005B1D0B">
        <w:rPr>
          <w:rFonts w:cs="Arial"/>
        </w:rPr>
        <w:t xml:space="preserve"> </w:t>
      </w:r>
      <w:r>
        <w:rPr>
          <w:rFonts w:cs="Arial"/>
        </w:rPr>
        <w:t xml:space="preserve">has </w:t>
      </w:r>
      <w:r w:rsidR="00086F5E">
        <w:rPr>
          <w:rFonts w:cs="Arial"/>
        </w:rPr>
        <w:t>SEND</w:t>
      </w:r>
      <w:r>
        <w:rPr>
          <w:rFonts w:cs="Arial"/>
        </w:rPr>
        <w:t xml:space="preserve"> if </w:t>
      </w:r>
      <w:r w:rsidR="005B1D0B">
        <w:rPr>
          <w:rFonts w:cs="Arial"/>
        </w:rPr>
        <w:t>they have</w:t>
      </w:r>
      <w:r>
        <w:rPr>
          <w:rFonts w:cs="Arial"/>
        </w:rPr>
        <w:t xml:space="preserve"> a learning difficulty and/or disability which </w:t>
      </w:r>
      <w:r w:rsidR="005B1D0B">
        <w:rPr>
          <w:rFonts w:cs="Arial"/>
        </w:rPr>
        <w:t xml:space="preserve">calls for </w:t>
      </w:r>
      <w:r>
        <w:rPr>
          <w:rFonts w:cs="Arial"/>
        </w:rPr>
        <w:t>special educational provision to be made for him/her.</w:t>
      </w:r>
      <w:r w:rsidR="005B1D0B">
        <w:rPr>
          <w:rFonts w:cs="Arial"/>
        </w:rPr>
        <w:t xml:space="preserve"> </w:t>
      </w:r>
    </w:p>
    <w:p w:rsidR="004208A4" w:rsidRDefault="005B4E89" w:rsidP="005B1D0B">
      <w:pPr>
        <w:autoSpaceDE w:val="0"/>
        <w:autoSpaceDN w:val="0"/>
        <w:adjustRightInd w:val="0"/>
        <w:spacing w:before="240" w:after="240"/>
        <w:rPr>
          <w:rFonts w:cs="Arial"/>
        </w:rPr>
      </w:pPr>
      <w:r>
        <w:rPr>
          <w:rFonts w:cs="Arial"/>
        </w:rPr>
        <w:t xml:space="preserve">A pupil </w:t>
      </w:r>
      <w:r w:rsidR="005B1D0B" w:rsidRPr="005B1D0B">
        <w:rPr>
          <w:rFonts w:cs="Arial"/>
        </w:rPr>
        <w:t xml:space="preserve">has a learning difficulty or disability if he or she: </w:t>
      </w:r>
    </w:p>
    <w:p w:rsidR="004208A4" w:rsidRDefault="005B1D0B" w:rsidP="00BD7417">
      <w:pPr>
        <w:pStyle w:val="NoSpacing"/>
        <w:numPr>
          <w:ilvl w:val="0"/>
          <w:numId w:val="18"/>
        </w:numPr>
      </w:pPr>
      <w:r>
        <w:t>H</w:t>
      </w:r>
      <w:r w:rsidR="004208A4">
        <w:t xml:space="preserve">as a significantly greater difficulty in learning than the majority of children of </w:t>
      </w:r>
      <w:r>
        <w:t>the same age</w:t>
      </w:r>
      <w:r w:rsidR="006A758F">
        <w:t>.</w:t>
      </w:r>
      <w:r>
        <w:t xml:space="preserve"> </w:t>
      </w:r>
    </w:p>
    <w:p w:rsidR="004208A4" w:rsidRDefault="005B1D0B" w:rsidP="00BD7417">
      <w:pPr>
        <w:pStyle w:val="NoSpacing"/>
        <w:numPr>
          <w:ilvl w:val="0"/>
          <w:numId w:val="18"/>
        </w:numPr>
      </w:pPr>
      <w:r>
        <w:t>H</w:t>
      </w:r>
      <w:r w:rsidR="004208A4">
        <w:t>as a disability which prevents or hinders them from making use of facilities of a kind generally provide</w:t>
      </w:r>
      <w:r>
        <w:t xml:space="preserve">d for children of the same age in mainstream </w:t>
      </w:r>
      <w:proofErr w:type="gramStart"/>
      <w:r>
        <w:t>schools.</w:t>
      </w:r>
      <w:proofErr w:type="gramEnd"/>
      <w:r>
        <w:t xml:space="preserve"> </w:t>
      </w:r>
    </w:p>
    <w:p w:rsidR="003179CC" w:rsidRDefault="003179CC" w:rsidP="003179CC">
      <w:pPr>
        <w:pStyle w:val="NoSpacing"/>
      </w:pPr>
    </w:p>
    <w:p w:rsidR="003179CC" w:rsidRPr="004208A4" w:rsidRDefault="003179CC" w:rsidP="003179CC">
      <w:pPr>
        <w:pStyle w:val="NoSpacing"/>
      </w:pPr>
      <w:r>
        <w:t xml:space="preserve">Broad areas of </w:t>
      </w:r>
      <w:r w:rsidR="00086F5E">
        <w:t>SEND</w:t>
      </w:r>
      <w:r>
        <w:t xml:space="preserve"> are detailed in paragraphs 6.28-6.35 of the </w:t>
      </w:r>
      <w:hyperlink r:id="rId12" w:history="1">
        <w:r w:rsidR="00086F5E">
          <w:rPr>
            <w:rStyle w:val="Hyperlink"/>
          </w:rPr>
          <w:t>SEND</w:t>
        </w:r>
        <w:r w:rsidR="00F9323E">
          <w:rPr>
            <w:rStyle w:val="Hyperlink"/>
          </w:rPr>
          <w:t xml:space="preserve"> Code of Practice 2015</w:t>
        </w:r>
      </w:hyperlink>
      <w:r>
        <w:t xml:space="preserve">. </w:t>
      </w:r>
    </w:p>
    <w:p w:rsidR="004208A4" w:rsidRPr="00B614EE" w:rsidRDefault="004208A4" w:rsidP="004208A4">
      <w:pPr>
        <w:pStyle w:val="Heading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Toc482355067"/>
      <w:r w:rsidRPr="00B614EE">
        <w:rPr>
          <w:rFonts w:asciiTheme="minorHAnsi" w:hAnsiTheme="minorHAnsi" w:cstheme="minorHAnsi"/>
          <w:color w:val="auto"/>
          <w:sz w:val="24"/>
          <w:szCs w:val="24"/>
        </w:rPr>
        <w:t>2.0 Code of Practice</w:t>
      </w:r>
      <w:bookmarkEnd w:id="1"/>
    </w:p>
    <w:p w:rsidR="00B614EE" w:rsidRDefault="00B614EE" w:rsidP="005B1D0B">
      <w:pPr>
        <w:autoSpaceDE w:val="0"/>
        <w:autoSpaceDN w:val="0"/>
        <w:adjustRightInd w:val="0"/>
        <w:spacing w:before="200" w:after="120"/>
      </w:pPr>
      <w:r>
        <w:rPr>
          <w:rFonts w:cstheme="minorHAnsi"/>
        </w:rPr>
        <w:t xml:space="preserve">The </w:t>
      </w:r>
      <w:hyperlink r:id="rId13" w:history="1">
        <w:r w:rsidR="00086F5E">
          <w:rPr>
            <w:rStyle w:val="Hyperlink"/>
          </w:rPr>
          <w:t>SEND</w:t>
        </w:r>
        <w:r w:rsidR="00F9323E">
          <w:rPr>
            <w:rStyle w:val="Hyperlink"/>
          </w:rPr>
          <w:t xml:space="preserve"> Code of Practice 2015</w:t>
        </w:r>
      </w:hyperlink>
      <w:r>
        <w:t xml:space="preserve"> provides statutory guidance on duties, policies and procedures relating to </w:t>
      </w:r>
      <w:r w:rsidR="004208A4" w:rsidRPr="004208A4">
        <w:rPr>
          <w:rFonts w:cstheme="minorHAnsi"/>
        </w:rPr>
        <w:t xml:space="preserve">Part 3 of the </w:t>
      </w:r>
      <w:r w:rsidR="004208A4" w:rsidRPr="004208A4">
        <w:rPr>
          <w:rFonts w:cstheme="minorHAnsi"/>
          <w:b/>
        </w:rPr>
        <w:t>Children and Families Act 2014</w:t>
      </w:r>
      <w:r w:rsidR="00F9323E">
        <w:rPr>
          <w:rFonts w:cstheme="minorHAnsi"/>
        </w:rPr>
        <w:t>.</w:t>
      </w:r>
      <w:r w:rsidR="004208A4" w:rsidRPr="004208A4">
        <w:rPr>
          <w:rFonts w:cstheme="minorHAnsi"/>
        </w:rPr>
        <w:t xml:space="preserve"> </w:t>
      </w:r>
      <w:r w:rsidR="00F9323E">
        <w:rPr>
          <w:rFonts w:cstheme="minorHAnsi"/>
        </w:rPr>
        <w:t xml:space="preserve">The </w:t>
      </w:r>
      <w:r w:rsidR="002F110D">
        <w:rPr>
          <w:rFonts w:cstheme="minorHAnsi"/>
        </w:rPr>
        <w:t xml:space="preserve">purpose of this policy is not to reproduce the </w:t>
      </w:r>
      <w:hyperlink r:id="rId14" w:history="1">
        <w:r w:rsidR="00086F5E">
          <w:rPr>
            <w:rStyle w:val="Hyperlink"/>
          </w:rPr>
          <w:t>SEND</w:t>
        </w:r>
        <w:r w:rsidR="00F9323E">
          <w:rPr>
            <w:rStyle w:val="Hyperlink"/>
          </w:rPr>
          <w:t xml:space="preserve"> Code of Practice 2015</w:t>
        </w:r>
      </w:hyperlink>
      <w:r w:rsidR="002F110D">
        <w:t xml:space="preserve"> but to provide a </w:t>
      </w:r>
      <w:r w:rsidR="00EE4A07">
        <w:t xml:space="preserve">contextual </w:t>
      </w:r>
      <w:r w:rsidR="002F110D">
        <w:t xml:space="preserve">summary of the </w:t>
      </w:r>
      <w:r w:rsidR="00EE4A07">
        <w:t>pertinent information.</w:t>
      </w:r>
    </w:p>
    <w:p w:rsidR="00EE4A07" w:rsidRPr="00B614EE" w:rsidRDefault="00EE4A07" w:rsidP="00EE4A07">
      <w:pPr>
        <w:pStyle w:val="Heading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Toc482355068"/>
      <w:r w:rsidRPr="00B614EE">
        <w:rPr>
          <w:rFonts w:asciiTheme="minorHAnsi" w:hAnsiTheme="minorHAnsi" w:cstheme="minorHAnsi"/>
          <w:color w:val="auto"/>
          <w:sz w:val="24"/>
          <w:szCs w:val="24"/>
        </w:rPr>
        <w:t>3.0 Staffing</w:t>
      </w:r>
      <w:bookmarkEnd w:id="2"/>
    </w:p>
    <w:p w:rsidR="00EE4A07" w:rsidRDefault="00EE4A07" w:rsidP="00EE4A07"/>
    <w:p w:rsidR="00EE4A07" w:rsidRDefault="00EE4A07" w:rsidP="00EE4A07">
      <w:r>
        <w:t xml:space="preserve">Mrs. D. Furnival is the designated teacher responsible for coordinating </w:t>
      </w:r>
      <w:r w:rsidR="00086F5E">
        <w:t>SEND</w:t>
      </w:r>
      <w:r w:rsidR="00E5104D">
        <w:t xml:space="preserve"> provision </w:t>
      </w:r>
      <w:r>
        <w:t xml:space="preserve">and a BACP qualified counsellor. </w:t>
      </w:r>
    </w:p>
    <w:p w:rsidR="00EE4A07" w:rsidRDefault="00EE4A07" w:rsidP="00EE4A07"/>
    <w:p w:rsidR="00EE4A07" w:rsidRDefault="00B614EE" w:rsidP="00EE4A07">
      <w:r>
        <w:t>Mr. Y. Moyet</w:t>
      </w:r>
      <w:r w:rsidR="00EE4A07">
        <w:t xml:space="preserve"> is the </w:t>
      </w:r>
      <w:r w:rsidR="000136AF">
        <w:t>S</w:t>
      </w:r>
      <w:r w:rsidR="00086F5E">
        <w:t>enior</w:t>
      </w:r>
      <w:r w:rsidR="000136AF">
        <w:t xml:space="preserve"> L</w:t>
      </w:r>
      <w:r w:rsidR="00EE4A07">
        <w:t xml:space="preserve">eader responsible for </w:t>
      </w:r>
      <w:r w:rsidR="00086F5E">
        <w:t>SEND</w:t>
      </w:r>
      <w:r w:rsidR="00EE4A07">
        <w:t xml:space="preserve">. </w:t>
      </w:r>
    </w:p>
    <w:p w:rsidR="00EE4A07" w:rsidRDefault="00EE4A07" w:rsidP="00EE4A07"/>
    <w:p w:rsidR="00EE4A07" w:rsidRDefault="00B614EE" w:rsidP="00EE4A07">
      <w:r>
        <w:t>Mrs. M. Gunn</w:t>
      </w:r>
      <w:r w:rsidR="00EE4A07">
        <w:t xml:space="preserve"> is the nominated governor responsible for </w:t>
      </w:r>
      <w:r w:rsidR="00086F5E">
        <w:t>SEND</w:t>
      </w:r>
      <w:r w:rsidR="00EE4A07">
        <w:t xml:space="preserve">. </w:t>
      </w:r>
    </w:p>
    <w:p w:rsidR="00EE4A07" w:rsidRDefault="00EE4A07" w:rsidP="00EE4A07"/>
    <w:p w:rsidR="00EE4A07" w:rsidRPr="00EE4A07" w:rsidRDefault="00EE4A07" w:rsidP="00EE4A07">
      <w:r>
        <w:t xml:space="preserve">The Academy commissions a range of professionals on a needs basis e.g. educational psychologist, dyslexia specialists, behaviour support, CAMHS advisors etc. </w:t>
      </w:r>
    </w:p>
    <w:p w:rsidR="005B1D0B" w:rsidRPr="00B614EE" w:rsidRDefault="00EE4A07" w:rsidP="005B1D0B">
      <w:pPr>
        <w:pStyle w:val="Heading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Toc482355069"/>
      <w:r w:rsidRPr="00B614EE">
        <w:rPr>
          <w:rFonts w:asciiTheme="minorHAnsi" w:hAnsiTheme="minorHAnsi" w:cstheme="minorHAnsi"/>
          <w:color w:val="auto"/>
          <w:sz w:val="24"/>
          <w:szCs w:val="24"/>
        </w:rPr>
        <w:t>4</w:t>
      </w:r>
      <w:r w:rsidR="005B1D0B" w:rsidRPr="00B614EE">
        <w:rPr>
          <w:rFonts w:asciiTheme="minorHAnsi" w:hAnsiTheme="minorHAnsi" w:cstheme="minorHAnsi"/>
          <w:color w:val="auto"/>
          <w:sz w:val="24"/>
          <w:szCs w:val="24"/>
        </w:rPr>
        <w:t>.0 Admissions</w:t>
      </w:r>
      <w:bookmarkEnd w:id="3"/>
    </w:p>
    <w:p w:rsidR="000E38FD" w:rsidRDefault="000E38FD" w:rsidP="000E38FD"/>
    <w:p w:rsidR="007F6CB3" w:rsidRDefault="005B1D0B" w:rsidP="000E38FD">
      <w:r>
        <w:t xml:space="preserve">The Academy will comply with the </w:t>
      </w:r>
      <w:hyperlink r:id="rId15" w:history="1">
        <w:r w:rsidR="006A758F">
          <w:rPr>
            <w:rStyle w:val="Hyperlink"/>
          </w:rPr>
          <w:t>Admissions Code</w:t>
        </w:r>
      </w:hyperlink>
      <w:r w:rsidR="006A758F">
        <w:t xml:space="preserve">, but, where it believes </w:t>
      </w:r>
      <w:r w:rsidR="007F6CB3">
        <w:t>an</w:t>
      </w:r>
      <w:r w:rsidR="006A758F" w:rsidRPr="006A758F">
        <w:t xml:space="preserve"> admission would be detrimental to the efficient </w:t>
      </w:r>
      <w:r w:rsidR="004544EF">
        <w:t>use of resources/</w:t>
      </w:r>
      <w:r w:rsidR="006A758F" w:rsidRPr="006A758F">
        <w:t>education and</w:t>
      </w:r>
      <w:r w:rsidR="007F6CB3">
        <w:t>/or</w:t>
      </w:r>
      <w:r w:rsidR="006A758F" w:rsidRPr="006A758F">
        <w:t xml:space="preserve"> safety o</w:t>
      </w:r>
      <w:r w:rsidR="006A758F">
        <w:t xml:space="preserve">f other pupils within the school, the </w:t>
      </w:r>
      <w:r w:rsidR="00C36354">
        <w:t>Trust may contest</w:t>
      </w:r>
      <w:r w:rsidR="007F6CB3">
        <w:t xml:space="preserve"> the admission*</w:t>
      </w:r>
    </w:p>
    <w:p w:rsidR="007F6CB3" w:rsidRDefault="007F6CB3" w:rsidP="000E38FD"/>
    <w:p w:rsidR="00852A62" w:rsidRPr="00971526" w:rsidRDefault="00BD7417" w:rsidP="000E38FD">
      <w:pPr>
        <w:rPr>
          <w:sz w:val="16"/>
          <w:szCs w:val="16"/>
        </w:rPr>
      </w:pPr>
      <w:r>
        <w:rPr>
          <w:sz w:val="16"/>
          <w:szCs w:val="16"/>
        </w:rPr>
        <w:t xml:space="preserve">*Legal advice will </w:t>
      </w:r>
      <w:r w:rsidR="007F6CB3" w:rsidRPr="00971526">
        <w:rPr>
          <w:sz w:val="16"/>
          <w:szCs w:val="16"/>
        </w:rPr>
        <w:t xml:space="preserve">be sought at this stage. </w:t>
      </w:r>
    </w:p>
    <w:p w:rsidR="00264110" w:rsidRPr="00B614EE" w:rsidRDefault="002973B3" w:rsidP="00264110">
      <w:pPr>
        <w:pStyle w:val="Heading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Toc482355070"/>
      <w:r w:rsidRPr="00B614EE">
        <w:rPr>
          <w:rFonts w:asciiTheme="minorHAnsi" w:hAnsiTheme="minorHAnsi" w:cstheme="minorHAnsi"/>
          <w:color w:val="auto"/>
          <w:sz w:val="24"/>
          <w:szCs w:val="24"/>
        </w:rPr>
        <w:t>5</w:t>
      </w:r>
      <w:r w:rsidR="00264110" w:rsidRPr="00B614EE">
        <w:rPr>
          <w:rFonts w:asciiTheme="minorHAnsi" w:hAnsiTheme="minorHAnsi" w:cstheme="minorHAnsi"/>
          <w:color w:val="auto"/>
          <w:sz w:val="24"/>
          <w:szCs w:val="24"/>
        </w:rPr>
        <w:t>.0 Entry Assessment</w:t>
      </w:r>
      <w:bookmarkEnd w:id="4"/>
      <w:r w:rsidR="00264110" w:rsidRPr="00B614E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264110" w:rsidRDefault="00264110" w:rsidP="00264110"/>
    <w:p w:rsidR="008950FF" w:rsidRDefault="00B614EE" w:rsidP="00264110">
      <w:r>
        <w:t>During the Year 7 Transition</w:t>
      </w:r>
      <w:r w:rsidR="008950FF">
        <w:t xml:space="preserve"> Day</w:t>
      </w:r>
      <w:r w:rsidR="00264110">
        <w:t xml:space="preserve"> all pupils undertake </w:t>
      </w:r>
      <w:r>
        <w:t>an English and maths task</w:t>
      </w:r>
      <w:r w:rsidR="00086F5E">
        <w:t xml:space="preserve">. </w:t>
      </w:r>
      <w:r w:rsidR="008950FF">
        <w:t>Analytical d</w:t>
      </w:r>
      <w:r>
        <w:t>ata from the test</w:t>
      </w:r>
      <w:r w:rsidR="00086F5E">
        <w:t>s</w:t>
      </w:r>
      <w:r>
        <w:t xml:space="preserve"> </w:t>
      </w:r>
      <w:r w:rsidR="008950FF">
        <w:t>allows for the following:</w:t>
      </w:r>
    </w:p>
    <w:p w:rsidR="008950FF" w:rsidRDefault="008950FF" w:rsidP="00264110"/>
    <w:p w:rsidR="008950FF" w:rsidRDefault="008950FF" w:rsidP="0053357D">
      <w:pPr>
        <w:pStyle w:val="NoSpacing"/>
        <w:numPr>
          <w:ilvl w:val="0"/>
          <w:numId w:val="17"/>
        </w:numPr>
      </w:pPr>
      <w:r>
        <w:t>Appropriate setting.</w:t>
      </w:r>
    </w:p>
    <w:p w:rsidR="008950FF" w:rsidRDefault="00971526" w:rsidP="0053357D">
      <w:pPr>
        <w:pStyle w:val="NoSpacing"/>
        <w:numPr>
          <w:ilvl w:val="0"/>
          <w:numId w:val="17"/>
        </w:numPr>
      </w:pPr>
      <w:r>
        <w:t>Targeted support (inside and outside of the curriculum).</w:t>
      </w:r>
    </w:p>
    <w:p w:rsidR="002973B3" w:rsidRDefault="00B06551" w:rsidP="002973B3">
      <w:pPr>
        <w:pStyle w:val="NoSpacing"/>
        <w:numPr>
          <w:ilvl w:val="0"/>
          <w:numId w:val="17"/>
        </w:numPr>
      </w:pPr>
      <w:r>
        <w:t>Further d</w:t>
      </w:r>
      <w:r w:rsidR="00971526">
        <w:t>iagnostic assessment/testing.</w:t>
      </w:r>
    </w:p>
    <w:p w:rsidR="002973B3" w:rsidRPr="00B614EE" w:rsidRDefault="00F927ED" w:rsidP="002973B3">
      <w:pPr>
        <w:pStyle w:val="Heading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5" w:name="_Toc482355071"/>
      <w:r w:rsidRPr="00B614EE">
        <w:rPr>
          <w:rFonts w:asciiTheme="minorHAnsi" w:hAnsiTheme="minorHAnsi" w:cstheme="minorHAnsi"/>
          <w:color w:val="auto"/>
          <w:sz w:val="24"/>
          <w:szCs w:val="24"/>
        </w:rPr>
        <w:lastRenderedPageBreak/>
        <w:t>6</w:t>
      </w:r>
      <w:r w:rsidR="002973B3" w:rsidRPr="00B614EE">
        <w:rPr>
          <w:rFonts w:asciiTheme="minorHAnsi" w:hAnsiTheme="minorHAnsi" w:cstheme="minorHAnsi"/>
          <w:color w:val="auto"/>
          <w:sz w:val="24"/>
          <w:szCs w:val="24"/>
        </w:rPr>
        <w:t>.0 Equality and Inclusion</w:t>
      </w:r>
      <w:bookmarkEnd w:id="5"/>
    </w:p>
    <w:p w:rsidR="002973B3" w:rsidRDefault="002973B3" w:rsidP="002973B3"/>
    <w:p w:rsidR="002973B3" w:rsidRDefault="002973B3" w:rsidP="002973B3">
      <w:r>
        <w:t xml:space="preserve">All pupils, regardless of whether they have </w:t>
      </w:r>
      <w:r w:rsidR="00086F5E">
        <w:t>SEND</w:t>
      </w:r>
      <w:r>
        <w:t>, will have equal access to:</w:t>
      </w:r>
    </w:p>
    <w:p w:rsidR="002973B3" w:rsidRDefault="002973B3" w:rsidP="002973B3"/>
    <w:p w:rsidR="002973B3" w:rsidRDefault="002973B3" w:rsidP="00BD7417">
      <w:pPr>
        <w:pStyle w:val="NoSpacing"/>
        <w:numPr>
          <w:ilvl w:val="0"/>
          <w:numId w:val="20"/>
        </w:numPr>
      </w:pPr>
      <w:r>
        <w:t xml:space="preserve">A </w:t>
      </w:r>
      <w:r w:rsidR="00086F5E">
        <w:t>broad</w:t>
      </w:r>
      <w:r>
        <w:t xml:space="preserve"> and balanced curriculum.</w:t>
      </w:r>
    </w:p>
    <w:p w:rsidR="002973B3" w:rsidRDefault="002973B3" w:rsidP="00BD7417">
      <w:pPr>
        <w:pStyle w:val="NoSpacing"/>
        <w:numPr>
          <w:ilvl w:val="0"/>
          <w:numId w:val="20"/>
        </w:numPr>
      </w:pPr>
      <w:r>
        <w:t xml:space="preserve">Independent careers advice and guidance (IAG). </w:t>
      </w:r>
    </w:p>
    <w:p w:rsidR="00BD7417" w:rsidRPr="005B4E89" w:rsidRDefault="00BD7417" w:rsidP="00BD7417">
      <w:pPr>
        <w:pStyle w:val="NoSpacing"/>
        <w:ind w:left="340"/>
      </w:pPr>
    </w:p>
    <w:p w:rsidR="00EE4A07" w:rsidRDefault="002973B3" w:rsidP="002973B3">
      <w:r>
        <w:t>Reasonable adjustments will be made for disabled pupils to prevent them from being put a substantial disadvantage.</w:t>
      </w:r>
    </w:p>
    <w:p w:rsidR="00BD7417" w:rsidRDefault="00BD7417" w:rsidP="002973B3"/>
    <w:p w:rsidR="00BD7417" w:rsidRDefault="00BD7417" w:rsidP="002973B3">
      <w:r>
        <w:t>Refer to the Equality Policy and Accessibility Plan.</w:t>
      </w:r>
    </w:p>
    <w:p w:rsidR="00EE4A07" w:rsidRPr="00B614EE" w:rsidRDefault="00F927ED" w:rsidP="00EE4A07">
      <w:pPr>
        <w:pStyle w:val="Heading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6" w:name="_Toc482355072"/>
      <w:r w:rsidRPr="00B614EE">
        <w:rPr>
          <w:rFonts w:asciiTheme="minorHAnsi" w:hAnsiTheme="minorHAnsi" w:cstheme="minorHAnsi"/>
          <w:color w:val="auto"/>
          <w:sz w:val="24"/>
          <w:szCs w:val="24"/>
        </w:rPr>
        <w:t>7</w:t>
      </w:r>
      <w:r w:rsidR="00EE4A07" w:rsidRPr="00B614EE">
        <w:rPr>
          <w:rFonts w:asciiTheme="minorHAnsi" w:hAnsiTheme="minorHAnsi" w:cstheme="minorHAnsi"/>
          <w:color w:val="auto"/>
          <w:sz w:val="24"/>
          <w:szCs w:val="24"/>
        </w:rPr>
        <w:t xml:space="preserve">.0 </w:t>
      </w:r>
      <w:r w:rsidR="00086F5E">
        <w:rPr>
          <w:rFonts w:asciiTheme="minorHAnsi" w:hAnsiTheme="minorHAnsi" w:cstheme="minorHAnsi"/>
          <w:color w:val="auto"/>
          <w:sz w:val="24"/>
          <w:szCs w:val="24"/>
        </w:rPr>
        <w:t>SEND</w:t>
      </w:r>
      <w:r w:rsidR="00EE4A07" w:rsidRPr="00B614EE">
        <w:rPr>
          <w:rFonts w:asciiTheme="minorHAnsi" w:hAnsiTheme="minorHAnsi" w:cstheme="minorHAnsi"/>
          <w:color w:val="auto"/>
          <w:sz w:val="24"/>
          <w:szCs w:val="24"/>
        </w:rPr>
        <w:t xml:space="preserve"> Provision</w:t>
      </w:r>
      <w:bookmarkEnd w:id="6"/>
    </w:p>
    <w:p w:rsidR="00EE4A07" w:rsidRDefault="00EE4A07" w:rsidP="00EE4A07"/>
    <w:p w:rsidR="00EE4A07" w:rsidRPr="00EE4A07" w:rsidRDefault="00EE4A07" w:rsidP="00EE4A07">
      <w:r>
        <w:t xml:space="preserve">A summary of the </w:t>
      </w:r>
      <w:r w:rsidR="00A11561">
        <w:t xml:space="preserve">Academy’s main </w:t>
      </w:r>
      <w:r w:rsidR="00086F5E">
        <w:t>SEND</w:t>
      </w:r>
      <w:r>
        <w:t xml:space="preserve"> provision is </w:t>
      </w:r>
      <w:r w:rsidR="00B06551">
        <w:t>provided</w:t>
      </w:r>
      <w:r>
        <w:t xml:space="preserve"> below:</w:t>
      </w:r>
    </w:p>
    <w:p w:rsidR="00EE4A07" w:rsidRDefault="00EE4A07" w:rsidP="00EE4A07"/>
    <w:p w:rsidR="00EE4A07" w:rsidRDefault="00EE4A07" w:rsidP="00BD7417">
      <w:pPr>
        <w:pStyle w:val="NoSpacing"/>
        <w:numPr>
          <w:ilvl w:val="0"/>
          <w:numId w:val="20"/>
        </w:numPr>
      </w:pPr>
      <w:r>
        <w:t xml:space="preserve">Sets are kept deliberately small – between 10-15 pupils in most subjects. </w:t>
      </w:r>
    </w:p>
    <w:p w:rsidR="00EE4A07" w:rsidRDefault="00EE4A07" w:rsidP="00BD7417">
      <w:pPr>
        <w:pStyle w:val="NoSpacing"/>
        <w:numPr>
          <w:ilvl w:val="0"/>
          <w:numId w:val="20"/>
        </w:numPr>
      </w:pPr>
      <w:r>
        <w:t xml:space="preserve">LSAs </w:t>
      </w:r>
      <w:r w:rsidR="00A11561">
        <w:t xml:space="preserve">are </w:t>
      </w:r>
      <w:r>
        <w:t xml:space="preserve">integrated in the lesson planning phase with teachers. </w:t>
      </w:r>
    </w:p>
    <w:p w:rsidR="00EE4A07" w:rsidRDefault="00EE4A07" w:rsidP="00BD7417">
      <w:pPr>
        <w:pStyle w:val="NoSpacing"/>
        <w:numPr>
          <w:ilvl w:val="0"/>
          <w:numId w:val="20"/>
        </w:numPr>
      </w:pPr>
      <w:r>
        <w:t xml:space="preserve">LSA </w:t>
      </w:r>
      <w:r w:rsidR="00A11561">
        <w:t xml:space="preserve">are assigned to </w:t>
      </w:r>
      <w:r>
        <w:t xml:space="preserve">support </w:t>
      </w:r>
      <w:r w:rsidR="00A11561">
        <w:t xml:space="preserve">pupils </w:t>
      </w:r>
      <w:r>
        <w:t>in lessons.</w:t>
      </w:r>
    </w:p>
    <w:p w:rsidR="00AA09C2" w:rsidRDefault="00AA09C2" w:rsidP="00BD7417">
      <w:pPr>
        <w:pStyle w:val="NoSpacing"/>
        <w:numPr>
          <w:ilvl w:val="0"/>
          <w:numId w:val="20"/>
        </w:numPr>
      </w:pPr>
      <w:r w:rsidRPr="00AA09C2">
        <w:t xml:space="preserve">On-going training and development of </w:t>
      </w:r>
      <w:r w:rsidR="00B06551">
        <w:t xml:space="preserve">teaching </w:t>
      </w:r>
      <w:r w:rsidRPr="00AA09C2">
        <w:t xml:space="preserve">staff. </w:t>
      </w:r>
    </w:p>
    <w:p w:rsidR="00EE4A07" w:rsidRDefault="00A11561" w:rsidP="00BD7417">
      <w:pPr>
        <w:pStyle w:val="NoSpacing"/>
        <w:numPr>
          <w:ilvl w:val="0"/>
          <w:numId w:val="20"/>
        </w:numPr>
      </w:pPr>
      <w:r>
        <w:t xml:space="preserve">A </w:t>
      </w:r>
      <w:r w:rsidR="00EE4A07">
        <w:t>Learning Enhancement Suite where pupils work in small groups with LSAs.</w:t>
      </w:r>
    </w:p>
    <w:p w:rsidR="00EE4A07" w:rsidRDefault="00A11561" w:rsidP="00BD7417">
      <w:pPr>
        <w:pStyle w:val="NoSpacing"/>
        <w:numPr>
          <w:ilvl w:val="0"/>
          <w:numId w:val="20"/>
        </w:numPr>
      </w:pPr>
      <w:r>
        <w:t xml:space="preserve">Onsite </w:t>
      </w:r>
      <w:r w:rsidR="00EE4A07">
        <w:t xml:space="preserve">BACP counselling </w:t>
      </w:r>
      <w:r>
        <w:t>s</w:t>
      </w:r>
      <w:r w:rsidR="00EE4A07">
        <w:t>ervice</w:t>
      </w:r>
      <w:r>
        <w:t xml:space="preserve">. </w:t>
      </w:r>
    </w:p>
    <w:p w:rsidR="002973B3" w:rsidRDefault="00A11561" w:rsidP="00BD7417">
      <w:pPr>
        <w:pStyle w:val="NoSpacing"/>
        <w:numPr>
          <w:ilvl w:val="0"/>
          <w:numId w:val="20"/>
        </w:numPr>
      </w:pPr>
      <w:r>
        <w:t xml:space="preserve">A </w:t>
      </w:r>
      <w:r w:rsidR="00EE4A07">
        <w:t xml:space="preserve">Learning Enhancement Club </w:t>
      </w:r>
      <w:r>
        <w:t xml:space="preserve">which </w:t>
      </w:r>
      <w:r w:rsidR="00EE4A07">
        <w:t>operates for 1 hour a day</w:t>
      </w:r>
      <w:r>
        <w:t>,</w:t>
      </w:r>
      <w:r w:rsidR="00EE4A07">
        <w:t xml:space="preserve"> 5 days a week. All LSAs are available during this time to assist </w:t>
      </w:r>
      <w:r w:rsidR="00086F5E">
        <w:t>SEND</w:t>
      </w:r>
      <w:r w:rsidR="00EE4A07">
        <w:t xml:space="preserve"> pupils with reading, homework etc. </w:t>
      </w:r>
    </w:p>
    <w:p w:rsidR="00AE59CB" w:rsidRPr="00AA09C2" w:rsidRDefault="00AE59CB" w:rsidP="00BD7417">
      <w:pPr>
        <w:pStyle w:val="NoSpacing"/>
        <w:numPr>
          <w:ilvl w:val="0"/>
          <w:numId w:val="20"/>
        </w:numPr>
      </w:pPr>
      <w:r>
        <w:t xml:space="preserve">Facilities </w:t>
      </w:r>
      <w:r w:rsidR="00B06551">
        <w:t xml:space="preserve">that are </w:t>
      </w:r>
      <w:r>
        <w:t xml:space="preserve">compliant with </w:t>
      </w:r>
      <w:r w:rsidR="00431B0E">
        <w:t xml:space="preserve">the </w:t>
      </w:r>
      <w:r w:rsidRPr="00BD7417">
        <w:t>Equality Act 2010.</w:t>
      </w:r>
    </w:p>
    <w:p w:rsidR="007529A5" w:rsidRPr="00B614EE" w:rsidRDefault="00F927ED" w:rsidP="007529A5">
      <w:pPr>
        <w:pStyle w:val="Heading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7" w:name="_Toc482355073"/>
      <w:r w:rsidRPr="00B614EE">
        <w:rPr>
          <w:rFonts w:asciiTheme="minorHAnsi" w:hAnsiTheme="minorHAnsi" w:cstheme="minorHAnsi"/>
          <w:color w:val="auto"/>
          <w:sz w:val="24"/>
          <w:szCs w:val="24"/>
        </w:rPr>
        <w:t>8</w:t>
      </w:r>
      <w:r w:rsidR="007529A5" w:rsidRPr="00B614EE">
        <w:rPr>
          <w:rFonts w:asciiTheme="minorHAnsi" w:hAnsiTheme="minorHAnsi" w:cstheme="minorHAnsi"/>
          <w:color w:val="auto"/>
          <w:sz w:val="24"/>
          <w:szCs w:val="24"/>
        </w:rPr>
        <w:t xml:space="preserve">.0 </w:t>
      </w:r>
      <w:r w:rsidR="00086F5E">
        <w:rPr>
          <w:rFonts w:asciiTheme="minorHAnsi" w:hAnsiTheme="minorHAnsi" w:cstheme="minorHAnsi"/>
          <w:color w:val="auto"/>
          <w:sz w:val="24"/>
          <w:szCs w:val="24"/>
        </w:rPr>
        <w:t>SEND</w:t>
      </w:r>
      <w:r w:rsidR="007529A5" w:rsidRPr="00B614EE">
        <w:rPr>
          <w:rFonts w:asciiTheme="minorHAnsi" w:hAnsiTheme="minorHAnsi" w:cstheme="minorHAnsi"/>
          <w:color w:val="auto"/>
          <w:sz w:val="24"/>
          <w:szCs w:val="24"/>
        </w:rPr>
        <w:t xml:space="preserve"> Pupils’ Attainment and Progress</w:t>
      </w:r>
      <w:bookmarkEnd w:id="7"/>
    </w:p>
    <w:p w:rsidR="007529A5" w:rsidRDefault="007529A5" w:rsidP="00971526"/>
    <w:p w:rsidR="001725C8" w:rsidRDefault="00086F5E" w:rsidP="00971526">
      <w:r>
        <w:t>SEND</w:t>
      </w:r>
      <w:r w:rsidR="001725C8">
        <w:t xml:space="preserve"> pupils’ attainment and progress is tracked using a bespoke software </w:t>
      </w:r>
      <w:r w:rsidR="00A11561">
        <w:t xml:space="preserve">package </w:t>
      </w:r>
      <w:r w:rsidR="001725C8">
        <w:t xml:space="preserve">called Pupil Achievement Tracker (PAT). Dashboards are produced on a half-termly basis and scrutinised by middle and </w:t>
      </w:r>
      <w:r>
        <w:t>sen</w:t>
      </w:r>
      <w:r w:rsidR="001725C8">
        <w:t>ior leaders</w:t>
      </w:r>
      <w:r w:rsidR="00AA09C2">
        <w:t xml:space="preserve">, followed </w:t>
      </w:r>
      <w:r w:rsidR="00B06551">
        <w:t xml:space="preserve">by </w:t>
      </w:r>
      <w:r w:rsidR="00AA09C2" w:rsidRPr="00AA09C2">
        <w:t>tar</w:t>
      </w:r>
      <w:r w:rsidR="00B06551">
        <w:t xml:space="preserve">geted </w:t>
      </w:r>
      <w:r w:rsidR="00AA09C2" w:rsidRPr="00AA09C2">
        <w:t>intervention</w:t>
      </w:r>
      <w:r w:rsidR="00AA09C2">
        <w:t xml:space="preserve"> for those pupils where progress has declined. The aforementioned dashboards </w:t>
      </w:r>
      <w:r w:rsidR="001725C8">
        <w:t xml:space="preserve">and </w:t>
      </w:r>
      <w:r w:rsidR="00AA09C2">
        <w:t>also pre</w:t>
      </w:r>
      <w:r>
        <w:t>sen</w:t>
      </w:r>
      <w:r w:rsidR="00AA09C2">
        <w:t xml:space="preserve">ted and discussed </w:t>
      </w:r>
      <w:r w:rsidR="001725C8">
        <w:t xml:space="preserve">at the relevant </w:t>
      </w:r>
      <w:r w:rsidR="000136AF">
        <w:t xml:space="preserve">LGB and Board </w:t>
      </w:r>
      <w:r w:rsidR="001725C8">
        <w:t xml:space="preserve">meeting. </w:t>
      </w:r>
    </w:p>
    <w:p w:rsidR="001725C8" w:rsidRDefault="001725C8" w:rsidP="00971526"/>
    <w:p w:rsidR="00E5104D" w:rsidRDefault="00086F5E" w:rsidP="00086F5E">
      <w:r>
        <w:t>SEND</w:t>
      </w:r>
      <w:r w:rsidR="001725C8">
        <w:t xml:space="preserve"> pupils’ attainment and progress at the end of KS4 is summarised in </w:t>
      </w:r>
      <w:r w:rsidR="00A11561">
        <w:t xml:space="preserve">a </w:t>
      </w:r>
      <w:r w:rsidR="001725C8">
        <w:t>report which is published on the Academy’</w:t>
      </w:r>
      <w:r w:rsidR="00A11561">
        <w:t xml:space="preserve">s website in September. </w:t>
      </w:r>
      <w:r w:rsidR="004C6D25">
        <w:t>Additional analysis is provided in the RAISE online</w:t>
      </w:r>
      <w:r w:rsidR="00B06551">
        <w:t xml:space="preserve"> Summary Report </w:t>
      </w:r>
      <w:r w:rsidR="00B614EE">
        <w:t xml:space="preserve">and Inspection Dashboard. </w:t>
      </w:r>
      <w:r w:rsidR="00B06551">
        <w:t xml:space="preserve"> </w:t>
      </w:r>
    </w:p>
    <w:p w:rsidR="00BD7417" w:rsidRPr="00B614EE" w:rsidRDefault="00BD7417" w:rsidP="00BD7417">
      <w:pPr>
        <w:pStyle w:val="Heading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8" w:name="_Toc482355074"/>
      <w:r>
        <w:rPr>
          <w:rFonts w:asciiTheme="minorHAnsi" w:hAnsiTheme="minorHAnsi" w:cstheme="minorHAnsi"/>
          <w:color w:val="auto"/>
          <w:sz w:val="24"/>
          <w:szCs w:val="24"/>
        </w:rPr>
        <w:t>9</w:t>
      </w:r>
      <w:r w:rsidRPr="00B614EE">
        <w:rPr>
          <w:rFonts w:asciiTheme="minorHAnsi" w:hAnsiTheme="minorHAnsi" w:cstheme="minorHAnsi"/>
          <w:color w:val="auto"/>
          <w:sz w:val="24"/>
          <w:szCs w:val="24"/>
        </w:rPr>
        <w:t xml:space="preserve">.0 </w:t>
      </w:r>
      <w:r>
        <w:rPr>
          <w:rFonts w:asciiTheme="minorHAnsi" w:hAnsiTheme="minorHAnsi" w:cstheme="minorHAnsi"/>
          <w:color w:val="auto"/>
          <w:sz w:val="24"/>
          <w:szCs w:val="24"/>
        </w:rPr>
        <w:t>SEND</w:t>
      </w:r>
      <w:r w:rsidRPr="00B614EE">
        <w:rPr>
          <w:rFonts w:asciiTheme="minorHAnsi" w:hAnsiTheme="minorHAnsi" w:cstheme="minorHAnsi"/>
          <w:color w:val="auto"/>
          <w:sz w:val="24"/>
          <w:szCs w:val="24"/>
        </w:rPr>
        <w:t xml:space="preserve"> Pupils’ </w:t>
      </w:r>
      <w:r>
        <w:rPr>
          <w:rFonts w:asciiTheme="minorHAnsi" w:hAnsiTheme="minorHAnsi" w:cstheme="minorHAnsi"/>
          <w:color w:val="auto"/>
          <w:sz w:val="24"/>
          <w:szCs w:val="24"/>
        </w:rPr>
        <w:t>Attendance, Exclusions and Rewards</w:t>
      </w:r>
      <w:bookmarkEnd w:id="8"/>
    </w:p>
    <w:p w:rsidR="00E5104D" w:rsidRDefault="00E5104D" w:rsidP="00086F5E"/>
    <w:p w:rsidR="00452FAD" w:rsidRDefault="00BD7417" w:rsidP="00086F5E">
      <w:r>
        <w:t xml:space="preserve">SEND pupils’ </w:t>
      </w:r>
      <w:r>
        <w:t>attendance, exclusion</w:t>
      </w:r>
      <w:r w:rsidR="00C36354">
        <w:t xml:space="preserve">s and rewards are tracked using </w:t>
      </w:r>
      <w:r>
        <w:t xml:space="preserve">PAT. </w:t>
      </w:r>
      <w:r>
        <w:t xml:space="preserve">Dashboards are </w:t>
      </w:r>
      <w:r>
        <w:t>updated on a daily basis and scrutinised</w:t>
      </w:r>
      <w:r w:rsidR="00C36354">
        <w:t xml:space="preserve"> </w:t>
      </w:r>
      <w:r>
        <w:t xml:space="preserve">by the Senior Leader with responsibility for SEND. Action/intervention is applied accordingly. </w:t>
      </w:r>
    </w:p>
    <w:p w:rsidR="00452FAD" w:rsidRDefault="00452FAD" w:rsidP="00086F5E"/>
    <w:p w:rsidR="00E5104D" w:rsidRDefault="00E5104D" w:rsidP="00086F5E"/>
    <w:p w:rsidR="00E5104D" w:rsidRDefault="00E5104D" w:rsidP="00086F5E"/>
    <w:p w:rsidR="00E5104D" w:rsidRDefault="00E5104D" w:rsidP="00086F5E"/>
    <w:p w:rsidR="002E35D6" w:rsidRPr="00086F5E" w:rsidRDefault="00BD7417" w:rsidP="002E35D6">
      <w:pPr>
        <w:pStyle w:val="Heading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9" w:name="_Toc482355075"/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>10</w:t>
      </w:r>
      <w:r w:rsidR="002E35D6" w:rsidRPr="00086F5E">
        <w:rPr>
          <w:rFonts w:asciiTheme="minorHAnsi" w:hAnsiTheme="minorHAnsi" w:cstheme="minorHAnsi"/>
          <w:color w:val="auto"/>
          <w:sz w:val="24"/>
          <w:szCs w:val="24"/>
        </w:rPr>
        <w:t xml:space="preserve">.0 Education, Health and Care </w:t>
      </w:r>
      <w:r w:rsidR="00F1089F" w:rsidRPr="00086F5E">
        <w:rPr>
          <w:rFonts w:asciiTheme="minorHAnsi" w:hAnsiTheme="minorHAnsi" w:cstheme="minorHAnsi"/>
          <w:color w:val="auto"/>
          <w:sz w:val="24"/>
          <w:szCs w:val="24"/>
        </w:rPr>
        <w:t xml:space="preserve">(EHC) </w:t>
      </w:r>
      <w:r w:rsidR="002E35D6" w:rsidRPr="00086F5E">
        <w:rPr>
          <w:rFonts w:asciiTheme="minorHAnsi" w:hAnsiTheme="minorHAnsi" w:cstheme="minorHAnsi"/>
          <w:color w:val="auto"/>
          <w:sz w:val="24"/>
          <w:szCs w:val="24"/>
        </w:rPr>
        <w:t>Needs Assessment and Plans</w:t>
      </w:r>
      <w:bookmarkEnd w:id="9"/>
    </w:p>
    <w:p w:rsidR="00054913" w:rsidRDefault="00054913" w:rsidP="00874522">
      <w:pPr>
        <w:pStyle w:val="NoSpacing"/>
      </w:pPr>
    </w:p>
    <w:p w:rsidR="002B0C3D" w:rsidRDefault="002B0C3D" w:rsidP="002B0C3D">
      <w:r w:rsidRPr="002B0C3D">
        <w:t xml:space="preserve">The majority of </w:t>
      </w:r>
      <w:r>
        <w:t>pupils</w:t>
      </w:r>
      <w:r w:rsidRPr="002B0C3D">
        <w:t xml:space="preserve"> with </w:t>
      </w:r>
      <w:r w:rsidR="00086F5E">
        <w:t>SEND</w:t>
      </w:r>
      <w:r w:rsidRPr="002B0C3D">
        <w:t xml:space="preserve"> will have their needs met</w:t>
      </w:r>
      <w:r>
        <w:t xml:space="preserve"> within the provision described </w:t>
      </w:r>
      <w:r w:rsidR="00F927ED">
        <w:t>in section 7</w:t>
      </w:r>
      <w:r w:rsidR="004C6D25">
        <w:t>.0</w:t>
      </w:r>
      <w:r>
        <w:t>. Some pupils, however,</w:t>
      </w:r>
      <w:r w:rsidRPr="002B0C3D">
        <w:t xml:space="preserve"> may require an EHC needs assessment in order for the local authority to decide whether it is necessary for it to make provision in accordance with an EHC plan. </w:t>
      </w:r>
      <w:r>
        <w:t xml:space="preserve">This is covered in Section 9.0 of the </w:t>
      </w:r>
      <w:hyperlink r:id="rId16" w:history="1">
        <w:r w:rsidR="00E5104D">
          <w:rPr>
            <w:rStyle w:val="Hyperlink"/>
          </w:rPr>
          <w:t>SEND Code of Practice 2015</w:t>
        </w:r>
      </w:hyperlink>
      <w:r>
        <w:t xml:space="preserve">. An overview of the process is provide below. </w:t>
      </w:r>
    </w:p>
    <w:p w:rsidR="002B0C3D" w:rsidRDefault="002B0C3D" w:rsidP="002B0C3D"/>
    <w:p w:rsidR="002B0C3D" w:rsidRDefault="002B0C3D" w:rsidP="00874522">
      <w:pPr>
        <w:jc w:val="center"/>
      </w:pPr>
      <w:r>
        <w:rPr>
          <w:noProof/>
          <w:lang w:eastAsia="en-GB"/>
        </w:rPr>
        <w:drawing>
          <wp:inline distT="0" distB="0" distL="0" distR="0" wp14:anchorId="24A1F5FD" wp14:editId="6B93DA89">
            <wp:extent cx="5748793" cy="6503909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31358" t="8965" r="29510" b="9302"/>
                    <a:stretch/>
                  </pic:blipFill>
                  <pic:spPr bwMode="auto">
                    <a:xfrm>
                      <a:off x="0" y="0"/>
                      <a:ext cx="5759395" cy="6515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6F5E" w:rsidRDefault="00086F5E" w:rsidP="002E35D6">
      <w:pPr>
        <w:pStyle w:val="NoSpacing"/>
      </w:pPr>
    </w:p>
    <w:p w:rsidR="00E5104D" w:rsidRDefault="00E5104D" w:rsidP="002E35D6">
      <w:pPr>
        <w:pStyle w:val="NoSpacing"/>
      </w:pPr>
    </w:p>
    <w:p w:rsidR="00E5104D" w:rsidRPr="00971526" w:rsidRDefault="00E5104D" w:rsidP="002E35D6">
      <w:pPr>
        <w:pStyle w:val="NoSpacing"/>
      </w:pPr>
    </w:p>
    <w:p w:rsidR="00B06551" w:rsidRPr="00086F5E" w:rsidRDefault="00E5104D" w:rsidP="00B06551">
      <w:pPr>
        <w:pStyle w:val="Heading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10" w:name="_Toc482355076"/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>1</w:t>
      </w:r>
      <w:r w:rsidR="00BD7417">
        <w:rPr>
          <w:rFonts w:asciiTheme="minorHAnsi" w:hAnsiTheme="minorHAnsi" w:cstheme="minorHAnsi"/>
          <w:color w:val="auto"/>
          <w:sz w:val="24"/>
          <w:szCs w:val="24"/>
        </w:rPr>
        <w:t>1</w:t>
      </w:r>
      <w:r>
        <w:rPr>
          <w:rFonts w:asciiTheme="minorHAnsi" w:hAnsiTheme="minorHAnsi" w:cstheme="minorHAnsi"/>
          <w:color w:val="auto"/>
          <w:sz w:val="24"/>
          <w:szCs w:val="24"/>
        </w:rPr>
        <w:t>.0 Ment</w:t>
      </w:r>
      <w:r w:rsidR="00B06551" w:rsidRPr="00086F5E">
        <w:rPr>
          <w:rFonts w:asciiTheme="minorHAnsi" w:hAnsiTheme="minorHAnsi" w:cstheme="minorHAnsi"/>
          <w:color w:val="auto"/>
          <w:sz w:val="24"/>
          <w:szCs w:val="24"/>
        </w:rPr>
        <w:t>al Health</w:t>
      </w:r>
      <w:bookmarkEnd w:id="10"/>
    </w:p>
    <w:p w:rsidR="00091DFA" w:rsidRPr="00091DFA" w:rsidRDefault="00091DFA" w:rsidP="00091DF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06551" w:rsidRDefault="00091DFA" w:rsidP="00091DFA">
      <w:pPr>
        <w:autoSpaceDE w:val="0"/>
        <w:autoSpaceDN w:val="0"/>
        <w:adjustRightInd w:val="0"/>
        <w:spacing w:after="200"/>
      </w:pPr>
      <w:r w:rsidRPr="00091DFA">
        <w:t xml:space="preserve">The Academy </w:t>
      </w:r>
      <w:r w:rsidR="00D16974">
        <w:t>is committed</w:t>
      </w:r>
      <w:r>
        <w:t xml:space="preserve"> to </w:t>
      </w:r>
      <w:r w:rsidR="00D16974">
        <w:t>ensuring</w:t>
      </w:r>
      <w:r>
        <w:t xml:space="preserve"> that all adults</w:t>
      </w:r>
      <w:r w:rsidRPr="00091DFA">
        <w:t xml:space="preserve"> understand their responsibilities to </w:t>
      </w:r>
      <w:r>
        <w:t>pupils</w:t>
      </w:r>
      <w:r w:rsidRPr="00091DFA">
        <w:t xml:space="preserve"> with </w:t>
      </w:r>
      <w:r w:rsidR="00086F5E">
        <w:t>SEND</w:t>
      </w:r>
      <w:r>
        <w:t>, including those</w:t>
      </w:r>
      <w:r w:rsidRPr="00091DFA">
        <w:t xml:space="preserve"> whose persis</w:t>
      </w:r>
      <w:r>
        <w:t xml:space="preserve">tent mental health difficulties. To this end, </w:t>
      </w:r>
      <w:r w:rsidR="00687C97">
        <w:t xml:space="preserve">key recommendations within </w:t>
      </w:r>
      <w:r>
        <w:t xml:space="preserve">the </w:t>
      </w:r>
      <w:proofErr w:type="spellStart"/>
      <w:r>
        <w:t>DfE</w:t>
      </w:r>
      <w:proofErr w:type="spellEnd"/>
      <w:r>
        <w:t xml:space="preserve"> guidance </w:t>
      </w:r>
      <w:hyperlink r:id="rId18" w:history="1">
        <w:r w:rsidR="00B06551">
          <w:rPr>
            <w:rStyle w:val="Hyperlink"/>
            <w:lang w:eastAsia="en-GB"/>
          </w:rPr>
          <w:t>Mental Health and Behaviour in Schools</w:t>
        </w:r>
      </w:hyperlink>
      <w:r w:rsidR="00D16974">
        <w:rPr>
          <w:lang w:eastAsia="en-GB"/>
        </w:rPr>
        <w:t xml:space="preserve"> have</w:t>
      </w:r>
      <w:r>
        <w:rPr>
          <w:lang w:eastAsia="en-GB"/>
        </w:rPr>
        <w:t xml:space="preserve"> </w:t>
      </w:r>
      <w:r w:rsidR="00687C97">
        <w:rPr>
          <w:lang w:eastAsia="en-GB"/>
        </w:rPr>
        <w:t xml:space="preserve">been incorporated into the CPD training programme. </w:t>
      </w:r>
    </w:p>
    <w:p w:rsidR="00B06551" w:rsidRPr="00B614EE" w:rsidRDefault="00BD7417" w:rsidP="00B06551">
      <w:pPr>
        <w:pStyle w:val="Heading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11" w:name="_Toc482355077"/>
      <w:r>
        <w:rPr>
          <w:rFonts w:asciiTheme="minorHAnsi" w:hAnsiTheme="minorHAnsi" w:cstheme="minorHAnsi"/>
          <w:color w:val="auto"/>
          <w:sz w:val="24"/>
          <w:szCs w:val="24"/>
        </w:rPr>
        <w:t>12</w:t>
      </w:r>
      <w:r w:rsidR="00B06551" w:rsidRPr="00B614EE">
        <w:rPr>
          <w:rFonts w:asciiTheme="minorHAnsi" w:hAnsiTheme="minorHAnsi" w:cstheme="minorHAnsi"/>
          <w:color w:val="auto"/>
          <w:sz w:val="24"/>
          <w:szCs w:val="24"/>
        </w:rPr>
        <w:t>.0 Complaints/Resolving Disagreements</w:t>
      </w:r>
      <w:bookmarkEnd w:id="11"/>
    </w:p>
    <w:p w:rsidR="00B06551" w:rsidRDefault="00B06551" w:rsidP="00B06551"/>
    <w:p w:rsidR="00B06551" w:rsidRDefault="00B06551" w:rsidP="00B06551">
      <w:r>
        <w:t xml:space="preserve">In the first instance, complainants are encouraged to consult the Academy’s </w:t>
      </w:r>
      <w:r w:rsidRPr="00BD7417">
        <w:t>Complaints Policy.</w:t>
      </w:r>
    </w:p>
    <w:p w:rsidR="00B06551" w:rsidRDefault="00B06551" w:rsidP="00B06551"/>
    <w:p w:rsidR="00B06551" w:rsidRPr="00B06551" w:rsidRDefault="00B06551" w:rsidP="00B06551">
      <w:r>
        <w:t xml:space="preserve">If the complainant remains dissatisfied, they should consult Section 11.0 of the </w:t>
      </w:r>
      <w:hyperlink r:id="rId19" w:history="1">
        <w:r w:rsidR="00BD7417">
          <w:rPr>
            <w:rStyle w:val="Hyperlink"/>
          </w:rPr>
          <w:t>SEND Code of Practice 2015</w:t>
        </w:r>
      </w:hyperlink>
      <w:r w:rsidR="00BD7417">
        <w:rPr>
          <w:rStyle w:val="Hyperlink"/>
        </w:rPr>
        <w:t>.</w:t>
      </w:r>
    </w:p>
    <w:p w:rsidR="00B06551" w:rsidRPr="00524648" w:rsidRDefault="00B06551" w:rsidP="001E6424">
      <w:pPr>
        <w:rPr>
          <w:lang w:eastAsia="en-GB"/>
        </w:rPr>
      </w:pPr>
      <w:bookmarkStart w:id="12" w:name="_GoBack"/>
      <w:bookmarkEnd w:id="12"/>
    </w:p>
    <w:sectPr w:rsidR="00B06551" w:rsidRPr="00524648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018" w:rsidRDefault="00037018">
      <w:r>
        <w:separator/>
      </w:r>
    </w:p>
  </w:endnote>
  <w:endnote w:type="continuationSeparator" w:id="0">
    <w:p w:rsidR="00037018" w:rsidRDefault="0003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JHJ B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2922"/>
      <w:docPartObj>
        <w:docPartGallery w:val="Page Numbers (Bottom of Page)"/>
        <w:docPartUnique/>
      </w:docPartObj>
    </w:sdtPr>
    <w:sdtEndPr/>
    <w:sdtContent>
      <w:p w:rsidR="00037018" w:rsidRDefault="000370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35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37018" w:rsidRDefault="00037018">
    <w:pPr>
      <w:pStyle w:val="Footer"/>
    </w:pPr>
  </w:p>
  <w:p w:rsidR="00037018" w:rsidRDefault="000370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018" w:rsidRDefault="00037018">
      <w:r>
        <w:separator/>
      </w:r>
    </w:p>
  </w:footnote>
  <w:footnote w:type="continuationSeparator" w:id="0">
    <w:p w:rsidR="00037018" w:rsidRDefault="00037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23E04"/>
    <w:multiLevelType w:val="hybridMultilevel"/>
    <w:tmpl w:val="35B86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63F2D"/>
    <w:multiLevelType w:val="hybridMultilevel"/>
    <w:tmpl w:val="B0A41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25403"/>
    <w:multiLevelType w:val="hybridMultilevel"/>
    <w:tmpl w:val="65C228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746B9"/>
    <w:multiLevelType w:val="hybridMultilevel"/>
    <w:tmpl w:val="8AC666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B736DF"/>
    <w:multiLevelType w:val="hybridMultilevel"/>
    <w:tmpl w:val="72CA3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C1E45"/>
    <w:multiLevelType w:val="hybridMultilevel"/>
    <w:tmpl w:val="059EC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F769E"/>
    <w:multiLevelType w:val="hybridMultilevel"/>
    <w:tmpl w:val="CED44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24788"/>
    <w:multiLevelType w:val="hybridMultilevel"/>
    <w:tmpl w:val="CE80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E2843"/>
    <w:multiLevelType w:val="hybridMultilevel"/>
    <w:tmpl w:val="B91AA9FA"/>
    <w:lvl w:ilvl="0" w:tplc="B272352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978F7"/>
    <w:multiLevelType w:val="hybridMultilevel"/>
    <w:tmpl w:val="16C84A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EF06A0"/>
    <w:multiLevelType w:val="hybridMultilevel"/>
    <w:tmpl w:val="826017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502FFB"/>
    <w:multiLevelType w:val="hybridMultilevel"/>
    <w:tmpl w:val="68701F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716CF6"/>
    <w:multiLevelType w:val="hybridMultilevel"/>
    <w:tmpl w:val="F89AF0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45027B"/>
    <w:multiLevelType w:val="hybridMultilevel"/>
    <w:tmpl w:val="C2F4B428"/>
    <w:lvl w:ilvl="0" w:tplc="B272352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E2E1C"/>
    <w:multiLevelType w:val="hybridMultilevel"/>
    <w:tmpl w:val="66928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E50DA"/>
    <w:multiLevelType w:val="hybridMultilevel"/>
    <w:tmpl w:val="F56E35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E10381"/>
    <w:multiLevelType w:val="hybridMultilevel"/>
    <w:tmpl w:val="4BA21E1E"/>
    <w:lvl w:ilvl="0" w:tplc="C358A24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15ABF"/>
    <w:multiLevelType w:val="hybridMultilevel"/>
    <w:tmpl w:val="3D0C6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4654F"/>
    <w:multiLevelType w:val="hybridMultilevel"/>
    <w:tmpl w:val="1E9C870C"/>
    <w:lvl w:ilvl="0" w:tplc="623C0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8C8410">
      <w:numFmt w:val="none"/>
      <w:lvlText w:val=""/>
      <w:lvlJc w:val="left"/>
      <w:pPr>
        <w:tabs>
          <w:tab w:val="num" w:pos="360"/>
        </w:tabs>
      </w:pPr>
    </w:lvl>
    <w:lvl w:ilvl="2" w:tplc="CFFC7BE0">
      <w:numFmt w:val="none"/>
      <w:lvlText w:val=""/>
      <w:lvlJc w:val="left"/>
      <w:pPr>
        <w:tabs>
          <w:tab w:val="num" w:pos="360"/>
        </w:tabs>
      </w:pPr>
    </w:lvl>
    <w:lvl w:ilvl="3" w:tplc="B53AEBE2">
      <w:numFmt w:val="none"/>
      <w:lvlText w:val=""/>
      <w:lvlJc w:val="left"/>
      <w:pPr>
        <w:tabs>
          <w:tab w:val="num" w:pos="360"/>
        </w:tabs>
      </w:pPr>
    </w:lvl>
    <w:lvl w:ilvl="4" w:tplc="E7D20F62">
      <w:numFmt w:val="none"/>
      <w:lvlText w:val=""/>
      <w:lvlJc w:val="left"/>
      <w:pPr>
        <w:tabs>
          <w:tab w:val="num" w:pos="360"/>
        </w:tabs>
      </w:pPr>
    </w:lvl>
    <w:lvl w:ilvl="5" w:tplc="7780D64C">
      <w:numFmt w:val="none"/>
      <w:lvlText w:val=""/>
      <w:lvlJc w:val="left"/>
      <w:pPr>
        <w:tabs>
          <w:tab w:val="num" w:pos="360"/>
        </w:tabs>
      </w:pPr>
    </w:lvl>
    <w:lvl w:ilvl="6" w:tplc="CB76EC22">
      <w:numFmt w:val="none"/>
      <w:lvlText w:val=""/>
      <w:lvlJc w:val="left"/>
      <w:pPr>
        <w:tabs>
          <w:tab w:val="num" w:pos="360"/>
        </w:tabs>
      </w:pPr>
    </w:lvl>
    <w:lvl w:ilvl="7" w:tplc="75526F5C">
      <w:numFmt w:val="none"/>
      <w:lvlText w:val=""/>
      <w:lvlJc w:val="left"/>
      <w:pPr>
        <w:tabs>
          <w:tab w:val="num" w:pos="360"/>
        </w:tabs>
      </w:pPr>
    </w:lvl>
    <w:lvl w:ilvl="8" w:tplc="A7E461BE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CF34741"/>
    <w:multiLevelType w:val="hybridMultilevel"/>
    <w:tmpl w:val="AAF60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5"/>
  </w:num>
  <w:num w:numId="8">
    <w:abstractNumId w:val="3"/>
  </w:num>
  <w:num w:numId="9">
    <w:abstractNumId w:val="0"/>
  </w:num>
  <w:num w:numId="10">
    <w:abstractNumId w:val="7"/>
  </w:num>
  <w:num w:numId="11">
    <w:abstractNumId w:val="19"/>
  </w:num>
  <w:num w:numId="12">
    <w:abstractNumId w:val="17"/>
  </w:num>
  <w:num w:numId="13">
    <w:abstractNumId w:val="4"/>
  </w:num>
  <w:num w:numId="14">
    <w:abstractNumId w:val="1"/>
  </w:num>
  <w:num w:numId="15">
    <w:abstractNumId w:val="14"/>
  </w:num>
  <w:num w:numId="16">
    <w:abstractNumId w:val="6"/>
  </w:num>
  <w:num w:numId="17">
    <w:abstractNumId w:val="5"/>
  </w:num>
  <w:num w:numId="18">
    <w:abstractNumId w:val="16"/>
  </w:num>
  <w:num w:numId="19">
    <w:abstractNumId w:val="8"/>
  </w:num>
  <w:num w:numId="20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8F"/>
    <w:rsid w:val="000059DA"/>
    <w:rsid w:val="000136AF"/>
    <w:rsid w:val="000253B3"/>
    <w:rsid w:val="000313C5"/>
    <w:rsid w:val="00033AE9"/>
    <w:rsid w:val="00033C82"/>
    <w:rsid w:val="00037018"/>
    <w:rsid w:val="000477F5"/>
    <w:rsid w:val="00054913"/>
    <w:rsid w:val="000558E4"/>
    <w:rsid w:val="00086F5E"/>
    <w:rsid w:val="00091DFA"/>
    <w:rsid w:val="000E38FD"/>
    <w:rsid w:val="001053E0"/>
    <w:rsid w:val="00120001"/>
    <w:rsid w:val="001405F5"/>
    <w:rsid w:val="001725C8"/>
    <w:rsid w:val="001851E6"/>
    <w:rsid w:val="001D390C"/>
    <w:rsid w:val="001E6424"/>
    <w:rsid w:val="002239AF"/>
    <w:rsid w:val="00264110"/>
    <w:rsid w:val="00267753"/>
    <w:rsid w:val="002973B3"/>
    <w:rsid w:val="002B0C3D"/>
    <w:rsid w:val="002E35D6"/>
    <w:rsid w:val="002F110D"/>
    <w:rsid w:val="003179CC"/>
    <w:rsid w:val="00340685"/>
    <w:rsid w:val="003B4797"/>
    <w:rsid w:val="003C0C21"/>
    <w:rsid w:val="003C69EC"/>
    <w:rsid w:val="003D0021"/>
    <w:rsid w:val="004208A4"/>
    <w:rsid w:val="00431B0E"/>
    <w:rsid w:val="00432925"/>
    <w:rsid w:val="004344A3"/>
    <w:rsid w:val="004407C4"/>
    <w:rsid w:val="00452FAD"/>
    <w:rsid w:val="004544EF"/>
    <w:rsid w:val="004C6D25"/>
    <w:rsid w:val="004E48DC"/>
    <w:rsid w:val="004E5162"/>
    <w:rsid w:val="005236EB"/>
    <w:rsid w:val="00524648"/>
    <w:rsid w:val="0053357D"/>
    <w:rsid w:val="00533ED8"/>
    <w:rsid w:val="00535D49"/>
    <w:rsid w:val="005B1D0B"/>
    <w:rsid w:val="005B4E89"/>
    <w:rsid w:val="005F0DD0"/>
    <w:rsid w:val="00630799"/>
    <w:rsid w:val="0063552A"/>
    <w:rsid w:val="00681B09"/>
    <w:rsid w:val="00687C97"/>
    <w:rsid w:val="00695194"/>
    <w:rsid w:val="006A758F"/>
    <w:rsid w:val="006F73E9"/>
    <w:rsid w:val="00740C07"/>
    <w:rsid w:val="007529A5"/>
    <w:rsid w:val="00752FF5"/>
    <w:rsid w:val="007F6CB3"/>
    <w:rsid w:val="00810F55"/>
    <w:rsid w:val="00852A62"/>
    <w:rsid w:val="00874522"/>
    <w:rsid w:val="008950FF"/>
    <w:rsid w:val="008E3FDA"/>
    <w:rsid w:val="0092361D"/>
    <w:rsid w:val="00953644"/>
    <w:rsid w:val="00971526"/>
    <w:rsid w:val="00994A02"/>
    <w:rsid w:val="009E4175"/>
    <w:rsid w:val="00A11561"/>
    <w:rsid w:val="00A76656"/>
    <w:rsid w:val="00AA09C2"/>
    <w:rsid w:val="00AC26FC"/>
    <w:rsid w:val="00AE59CB"/>
    <w:rsid w:val="00AF08E0"/>
    <w:rsid w:val="00B06551"/>
    <w:rsid w:val="00B159A1"/>
    <w:rsid w:val="00B15ED9"/>
    <w:rsid w:val="00B614EE"/>
    <w:rsid w:val="00B84F38"/>
    <w:rsid w:val="00BD7417"/>
    <w:rsid w:val="00C0610E"/>
    <w:rsid w:val="00C17970"/>
    <w:rsid w:val="00C36354"/>
    <w:rsid w:val="00C83C46"/>
    <w:rsid w:val="00CB7C26"/>
    <w:rsid w:val="00CF4A94"/>
    <w:rsid w:val="00D16974"/>
    <w:rsid w:val="00D92480"/>
    <w:rsid w:val="00DD7DF8"/>
    <w:rsid w:val="00DE5DC8"/>
    <w:rsid w:val="00E435C6"/>
    <w:rsid w:val="00E5104D"/>
    <w:rsid w:val="00E57EC4"/>
    <w:rsid w:val="00E7222F"/>
    <w:rsid w:val="00E777C8"/>
    <w:rsid w:val="00E85663"/>
    <w:rsid w:val="00EA2216"/>
    <w:rsid w:val="00EA5BE3"/>
    <w:rsid w:val="00EE4A07"/>
    <w:rsid w:val="00F1089F"/>
    <w:rsid w:val="00F12A8F"/>
    <w:rsid w:val="00F23D17"/>
    <w:rsid w:val="00F301B7"/>
    <w:rsid w:val="00F60427"/>
    <w:rsid w:val="00F7005D"/>
    <w:rsid w:val="00F85F16"/>
    <w:rsid w:val="00F87A2F"/>
    <w:rsid w:val="00F927ED"/>
    <w:rsid w:val="00F9323E"/>
    <w:rsid w:val="00FB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5149BB-B9D6-4F04-B8B0-7B4DE670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NoSpacing">
    <w:name w:val="No Spacing"/>
    <w:uiPriority w:val="1"/>
    <w:qFormat/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  <w:rPr>
      <w:rFonts w:ascii="Univers (W1)" w:eastAsia="Times New Roman" w:hAnsi="Univers (W1)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Pr>
      <w:rFonts w:ascii="Univers (W1)" w:eastAsia="Times New Roman" w:hAnsi="Univers (W1)" w:cs="Times New Roman"/>
      <w:szCs w:val="20"/>
    </w:rPr>
  </w:style>
  <w:style w:type="paragraph" w:styleId="BodyTextIndent3">
    <w:name w:val="Body Text Indent 3"/>
    <w:basedOn w:val="Normal"/>
    <w:link w:val="BodyTextIndent3Char"/>
    <w:semiHidden/>
    <w:pPr>
      <w:tabs>
        <w:tab w:val="left" w:pos="720"/>
      </w:tabs>
      <w:ind w:left="360"/>
    </w:pPr>
    <w:rPr>
      <w:rFonts w:ascii="Arial" w:eastAsia="Times New Roman" w:hAnsi="Arial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semiHidden/>
    <w:pPr>
      <w:ind w:left="720"/>
    </w:pPr>
    <w:rPr>
      <w:rFonts w:ascii="Univers (W1)" w:eastAsia="Times New Roman" w:hAnsi="Univers (W1)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Pr>
      <w:rFonts w:ascii="Univers (W1)" w:eastAsia="Times New Roman" w:hAnsi="Univers (W1)" w:cs="Times New Roman"/>
      <w:szCs w:val="20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customStyle="1" w:styleId="CM12">
    <w:name w:val="CM12"/>
    <w:basedOn w:val="Normal"/>
    <w:next w:val="Normal"/>
    <w:uiPriority w:val="99"/>
    <w:pPr>
      <w:autoSpaceDE w:val="0"/>
      <w:autoSpaceDN w:val="0"/>
      <w:adjustRightInd w:val="0"/>
      <w:spacing w:after="240"/>
    </w:pPr>
    <w:rPr>
      <w:rFonts w:ascii="CHJHJ B+ Helvetica Neue" w:hAnsi="CHJHJ B+ Helvetica Neue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E38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38FD"/>
  </w:style>
  <w:style w:type="character" w:styleId="PageNumber">
    <w:name w:val="page number"/>
    <w:basedOn w:val="DefaultParagraphFont"/>
    <w:rsid w:val="000E38FD"/>
  </w:style>
  <w:style w:type="character" w:styleId="Emphasis">
    <w:name w:val="Emphasis"/>
    <w:basedOn w:val="DefaultParagraphFont"/>
    <w:uiPriority w:val="20"/>
    <w:qFormat/>
    <w:rsid w:val="000E38F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0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8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642">
      <w:bodyDiv w:val="1"/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6903">
              <w:marLeft w:val="0"/>
              <w:marRight w:val="0"/>
              <w:marTop w:val="150"/>
              <w:marBottom w:val="15"/>
              <w:divBdr>
                <w:top w:val="none" w:sz="0" w:space="0" w:color="auto"/>
                <w:left w:val="none" w:sz="0" w:space="0" w:color="auto"/>
                <w:bottom w:val="single" w:sz="6" w:space="0" w:color="466FA0"/>
                <w:right w:val="none" w:sz="0" w:space="0" w:color="auto"/>
              </w:divBdr>
              <w:divsChild>
                <w:div w:id="28458629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586098">
      <w:bodyDiv w:val="1"/>
      <w:marLeft w:val="0"/>
      <w:marRight w:val="0"/>
      <w:marTop w:val="15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3319">
          <w:marLeft w:val="0"/>
          <w:marRight w:val="0"/>
          <w:marTop w:val="0"/>
          <w:marBottom w:val="0"/>
          <w:divBdr>
            <w:top w:val="none" w:sz="0" w:space="0" w:color="006699"/>
            <w:left w:val="single" w:sz="6" w:space="0" w:color="006699"/>
            <w:bottom w:val="single" w:sz="6" w:space="0" w:color="006699"/>
            <w:right w:val="single" w:sz="6" w:space="0" w:color="006699"/>
          </w:divBdr>
          <w:divsChild>
            <w:div w:id="222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uploads/system/uploads/attachment_data/file/398815/SEND_Code_of_Practice_January_2015.pdf" TargetMode="External"/><Relationship Id="rId18" Type="http://schemas.openxmlformats.org/officeDocument/2006/relationships/hyperlink" Target="https://www.gov.uk/government/uploads/system/uploads/attachment_data/file/317288/Mental_health_and_behaviour_in_school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uploads/system/uploads/attachment_data/file/398815/SEND_Code_of_Practice_January_2015.pdf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uploads/system/uploads/attachment_data/file/398815/SEND_Code_of_Practice_January_2015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uploads/system/uploads/attachment_data/file/275598/school_admissions_code_1_february_2012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ov.uk/government/uploads/system/uploads/attachment_data/file/398815/SEND_Code_of_Practice_January_2015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uploads/system/uploads/attachment_data/file/398815/SEND_Code_of_Practice_January_2015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7D8BD919AC714DAA5F2824725BE4AA" ma:contentTypeVersion="0" ma:contentTypeDescription="Create a new document." ma:contentTypeScope="" ma:versionID="4713210da93586b288c59f46b2a88d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DB50-B394-4626-AE24-17E6EC668070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3EF6DFA-F2F0-4E65-A6D8-E283C5E77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FCAA55-439D-4481-9F23-0AA5A6AA5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AE641A-FD6F-499F-B4F2-05A3F784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Policy</vt:lpstr>
    </vt:vector>
  </TitlesOfParts>
  <Company>The Eastwood School</Company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Policy</dc:title>
  <dc:creator>NHouchen</dc:creator>
  <cp:lastModifiedBy>Neil Houchen</cp:lastModifiedBy>
  <cp:revision>11</cp:revision>
  <cp:lastPrinted>2016-06-28T09:38:00Z</cp:lastPrinted>
  <dcterms:created xsi:type="dcterms:W3CDTF">2015-06-30T10:05:00Z</dcterms:created>
  <dcterms:modified xsi:type="dcterms:W3CDTF">2017-05-12T11:36:00Z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0x010100A27D8BD919AC714DAA5F2824725BE4AA</vt:lpwstr>
  </property>
</Properties>
</file>